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1B615756"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A42A2F">
        <w:rPr>
          <w:rFonts w:ascii="Arial" w:eastAsia="Batang" w:hAnsi="Arial" w:cs="Arial"/>
          <w:b/>
          <w:bCs/>
          <w:sz w:val="28"/>
          <w:szCs w:val="24"/>
        </w:rPr>
        <w:t> </w:t>
      </w:r>
      <w:r w:rsidRPr="00926446">
        <w:rPr>
          <w:rFonts w:ascii="Arial" w:eastAsia="Batang" w:hAnsi="Arial" w:cs="Arial"/>
          <w:b/>
          <w:bCs/>
          <w:sz w:val="28"/>
          <w:szCs w:val="24"/>
        </w:rPr>
        <w:t>10</w:t>
      </w:r>
      <w:r w:rsidR="00AB5304">
        <w:rPr>
          <w:rFonts w:ascii="Arial" w:eastAsia="Batang" w:hAnsi="Arial" w:cs="Arial"/>
          <w:b/>
          <w:bCs/>
          <w:sz w:val="28"/>
          <w:szCs w:val="24"/>
        </w:rPr>
        <w:t>7</w:t>
      </w:r>
      <w:r>
        <w:rPr>
          <w:rFonts w:ascii="Arial" w:eastAsia="Batang" w:hAnsi="Arial" w:cs="Arial"/>
          <w:b/>
          <w:bCs/>
          <w:sz w:val="28"/>
          <w:szCs w:val="24"/>
        </w:rPr>
        <w:t>-e</w:t>
      </w:r>
      <w:r w:rsidR="00AB5304">
        <w:rPr>
          <w:rFonts w:ascii="Arial" w:eastAsia="Batang" w:hAnsi="Arial" w:cs="Arial"/>
          <w:b/>
          <w:bCs/>
          <w:sz w:val="28"/>
          <w:szCs w:val="24"/>
        </w:rPr>
        <w:t xml:space="preserve">  </w:t>
      </w:r>
      <w:r>
        <w:rPr>
          <w:rFonts w:ascii="Arial" w:eastAsia="Batang" w:hAnsi="Arial" w:cs="Arial"/>
          <w:b/>
          <w:bCs/>
          <w:sz w:val="28"/>
          <w:szCs w:val="24"/>
        </w:rPr>
        <w:t xml:space="preserve">                                                            </w:t>
      </w:r>
      <w:r w:rsidR="005E7ADB">
        <w:rPr>
          <w:rFonts w:ascii="Arial" w:eastAsia="Batang" w:hAnsi="Arial" w:cs="Arial"/>
          <w:b/>
          <w:bCs/>
          <w:sz w:val="28"/>
          <w:szCs w:val="24"/>
        </w:rPr>
        <w:t xml:space="preserve">   </w:t>
      </w:r>
      <w:r w:rsidR="004B5CAA" w:rsidRPr="004B5CAA">
        <w:rPr>
          <w:rFonts w:ascii="Arial" w:eastAsia="Batang" w:hAnsi="Arial" w:cs="Arial"/>
          <w:b/>
          <w:bCs/>
          <w:sz w:val="28"/>
          <w:szCs w:val="24"/>
        </w:rPr>
        <w:t>R1-2111524</w:t>
      </w:r>
      <w:r w:rsidR="00AC0878">
        <w:rPr>
          <w:rFonts w:ascii="Arial" w:eastAsia="Batang" w:hAnsi="Arial" w:cs="Arial"/>
          <w:b/>
          <w:bCs/>
          <w:sz w:val="28"/>
          <w:szCs w:val="24"/>
        </w:rPr>
        <w:t>s</w:t>
      </w:r>
    </w:p>
    <w:p w14:paraId="5AF5D47C" w14:textId="41EA5560" w:rsidR="00744E3E" w:rsidRPr="002E16F4" w:rsidRDefault="00114012" w:rsidP="00744E3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xml:space="preserve">, </w:t>
      </w:r>
      <w:r w:rsidR="00A340C0">
        <w:rPr>
          <w:rFonts w:ascii="Arial" w:eastAsia="MS Mincho" w:hAnsi="Arial" w:cs="Arial"/>
          <w:b/>
          <w:bCs/>
          <w:sz w:val="28"/>
          <w:szCs w:val="24"/>
          <w:lang w:eastAsia="ja-JP"/>
        </w:rPr>
        <w:t>11</w:t>
      </w:r>
      <w:r w:rsidR="00A340C0" w:rsidRPr="00030A95">
        <w:rPr>
          <w:rFonts w:ascii="Arial" w:eastAsia="MS Mincho" w:hAnsi="Arial" w:cs="Arial"/>
          <w:b/>
          <w:bCs/>
          <w:sz w:val="28"/>
          <w:szCs w:val="24"/>
          <w:vertAlign w:val="superscript"/>
          <w:lang w:eastAsia="ja-JP"/>
        </w:rPr>
        <w:t>th</w:t>
      </w:r>
      <w:r w:rsidR="00A340C0" w:rsidRPr="00030A95">
        <w:rPr>
          <w:rFonts w:ascii="Arial" w:eastAsia="MS Mincho" w:hAnsi="Arial" w:cs="Arial"/>
          <w:b/>
          <w:bCs/>
          <w:sz w:val="28"/>
          <w:szCs w:val="24"/>
          <w:lang w:eastAsia="ja-JP"/>
        </w:rPr>
        <w:t xml:space="preserve"> –</w:t>
      </w:r>
      <w:r w:rsidR="00A340C0">
        <w:rPr>
          <w:rFonts w:ascii="Arial" w:eastAsia="MS Mincho" w:hAnsi="Arial" w:cs="Arial"/>
          <w:b/>
          <w:bCs/>
          <w:sz w:val="28"/>
          <w:szCs w:val="24"/>
          <w:lang w:eastAsia="ja-JP"/>
        </w:rPr>
        <w:t xml:space="preserve"> 19</w:t>
      </w:r>
      <w:r w:rsidR="00A340C0" w:rsidRPr="00030A95">
        <w:rPr>
          <w:rFonts w:ascii="Arial" w:eastAsia="MS Mincho" w:hAnsi="Arial" w:cs="Arial"/>
          <w:b/>
          <w:bCs/>
          <w:sz w:val="28"/>
          <w:szCs w:val="24"/>
          <w:vertAlign w:val="superscript"/>
          <w:lang w:eastAsia="ja-JP"/>
        </w:rPr>
        <w:t>th</w:t>
      </w:r>
      <w:r w:rsidR="00A340C0">
        <w:rPr>
          <w:rFonts w:ascii="Arial" w:eastAsia="MS Mincho" w:hAnsi="Arial" w:cs="Arial"/>
          <w:b/>
          <w:bCs/>
          <w:sz w:val="28"/>
          <w:szCs w:val="24"/>
          <w:lang w:eastAsia="ja-JP"/>
        </w:rPr>
        <w:t xml:space="preserve"> </w:t>
      </w:r>
      <w:r w:rsidR="00170E49">
        <w:rPr>
          <w:rFonts w:ascii="Arial" w:eastAsia="MS Mincho" w:hAnsi="Arial" w:cs="Arial"/>
          <w:b/>
          <w:bCs/>
          <w:sz w:val="28"/>
          <w:szCs w:val="24"/>
          <w:lang w:eastAsia="ja-JP"/>
        </w:rPr>
        <w:t>November</w:t>
      </w:r>
      <w:r w:rsidR="00A340C0">
        <w:rPr>
          <w:rFonts w:ascii="Arial" w:eastAsia="MS Mincho" w:hAnsi="Arial" w:cs="Arial"/>
          <w:b/>
          <w:bCs/>
          <w:sz w:val="28"/>
          <w:szCs w:val="24"/>
          <w:lang w:eastAsia="ja-JP"/>
        </w:rPr>
        <w:t xml:space="preserve"> </w:t>
      </w:r>
      <w:r>
        <w:rPr>
          <w:rFonts w:ascii="Arial" w:eastAsia="MS Mincho" w:hAnsi="Arial" w:cs="Arial"/>
          <w:b/>
          <w:bCs/>
          <w:sz w:val="28"/>
          <w:szCs w:val="24"/>
          <w:lang w:eastAsia="ja-JP"/>
        </w:rPr>
        <w:t>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9A40A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55126" w:rsidRPr="00E55126">
        <w:rPr>
          <w:rFonts w:ascii="Arial" w:eastAsia="Malgun Gothic" w:hAnsi="Arial" w:cs="Arial"/>
          <w:b/>
          <w:sz w:val="24"/>
          <w:lang w:val="en-US" w:eastAsia="ko-KR"/>
        </w:rPr>
        <w:t>Remaining issues on timing relationships for IoT NTN</w:t>
      </w:r>
    </w:p>
    <w:p w14:paraId="3596330A" w14:textId="624B9FD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114012">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2182B6F5" w14:textId="2EB19CC9" w:rsidR="009F0989" w:rsidRPr="009F0989" w:rsidRDefault="009F0989" w:rsidP="009F0989">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 xml:space="preserve">evaluate and confirm solutions to address the minimum necessary specifications for </w:t>
      </w:r>
      <w:r w:rsidRPr="004B185D">
        <w:rPr>
          <w:sz w:val="22"/>
          <w:szCs w:val="22"/>
          <w:lang w:val="en-US" w:eastAsia="ko-KR"/>
        </w:rPr>
        <w:t>NB-IoT and eMTC NTN</w:t>
      </w:r>
      <w:r>
        <w:rPr>
          <w:sz w:val="22"/>
          <w:szCs w:val="22"/>
          <w:lang w:val="en-US" w:eastAsia="ko-KR"/>
        </w:rPr>
        <w:t xml:space="preserve">. The outcome of the SI is captured in the TR 36.763. At the RAN#92-e new work item (WI) on </w:t>
      </w:r>
      <w:r w:rsidRPr="00880DD0">
        <w:rPr>
          <w:sz w:val="22"/>
          <w:szCs w:val="22"/>
          <w:lang w:val="en-US" w:eastAsia="ko-KR"/>
        </w:rPr>
        <w:t>NB-IoT and eMTC</w:t>
      </w:r>
      <w:r>
        <w:rPr>
          <w:sz w:val="22"/>
          <w:szCs w:val="22"/>
          <w:lang w:val="en-US" w:eastAsia="ko-KR"/>
        </w:rPr>
        <w:t xml:space="preserve"> NTN (IoT-NTN) was agreed in. One of the objectives from the WID [2] is to s</w:t>
      </w:r>
      <w:r w:rsidRPr="009F0989">
        <w:rPr>
          <w:sz w:val="22"/>
          <w:szCs w:val="22"/>
          <w:lang w:val="en-US" w:eastAsia="ko-KR"/>
        </w:rPr>
        <w:t>pecify the following  IoT NTN specific timing relationships enhancements according to Section 8 in TR 36.763</w:t>
      </w:r>
      <w:r>
        <w:rPr>
          <w:sz w:val="22"/>
          <w:szCs w:val="22"/>
          <w:lang w:val="en-US" w:eastAsia="ko-KR"/>
        </w:rPr>
        <w:t>.</w:t>
      </w:r>
    </w:p>
    <w:p w14:paraId="330EEAF9" w14:textId="4E14F31E"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 xml:space="preserve">Timing relationships for NB-IoT / eMTC: as listed in Section 6.6.3 in TR 36.763 </w:t>
      </w:r>
    </w:p>
    <w:p w14:paraId="5E592EB1" w14:textId="169F247D"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UL scheduling for FDD-HD: Use of UE-specific TA and/or K_offset to avoid UL-DL collisions in FDD-HD</w:t>
      </w:r>
    </w:p>
    <w:p w14:paraId="0A07D7E5" w14:textId="400CE6C1"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Signalling aspects in UE-specific TA maintenance and reporting, techniques to reduce the signalling load and determination of the UE-specific TA.</w:t>
      </w:r>
    </w:p>
    <w:p w14:paraId="6357C85A" w14:textId="37012B2C" w:rsidR="00193AEA" w:rsidRPr="000B4ADF" w:rsidRDefault="00193AEA" w:rsidP="009F0989">
      <w:pPr>
        <w:snapToGrid w:val="0"/>
        <w:spacing w:before="240" w:after="120"/>
        <w:ind w:right="-99"/>
        <w:jc w:val="both"/>
        <w:rPr>
          <w:sz w:val="22"/>
          <w:szCs w:val="22"/>
          <w:lang w:eastAsia="ko-KR"/>
        </w:rPr>
      </w:pPr>
      <w:r>
        <w:rPr>
          <w:sz w:val="22"/>
          <w:szCs w:val="22"/>
          <w:lang w:eastAsia="ko-KR"/>
        </w:rPr>
        <w:t xml:space="preserve">In this contribution </w:t>
      </w:r>
      <w:r w:rsidR="00B8321A">
        <w:rPr>
          <w:sz w:val="22"/>
          <w:szCs w:val="22"/>
          <w:lang w:eastAsia="ko-KR"/>
        </w:rPr>
        <w:t>enhancements to timing relationship</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2B7F3873" w14:textId="374B43C3" w:rsidR="00D6753D" w:rsidRPr="0048118C" w:rsidRDefault="00790513" w:rsidP="0048118C">
      <w:pPr>
        <w:pStyle w:val="Heading1"/>
        <w:numPr>
          <w:ilvl w:val="0"/>
          <w:numId w:val="5"/>
        </w:numPr>
        <w:spacing w:before="120" w:after="60"/>
        <w:jc w:val="both"/>
        <w:rPr>
          <w:rFonts w:cs="Arial"/>
          <w:lang w:val="en-US"/>
        </w:rPr>
      </w:pPr>
      <w:r>
        <w:rPr>
          <w:rFonts w:cs="Arial"/>
          <w:lang w:val="en-US"/>
        </w:rPr>
        <w:t>Discussion</w:t>
      </w:r>
    </w:p>
    <w:p w14:paraId="298533C0" w14:textId="3A7E1C74" w:rsidR="00B2719A" w:rsidRPr="00B2719A" w:rsidRDefault="000A46C9" w:rsidP="008A0E8B">
      <w:pPr>
        <w:spacing w:before="240" w:after="240"/>
        <w:jc w:val="both"/>
        <w:rPr>
          <w:i/>
        </w:rPr>
      </w:pPr>
      <w:r w:rsidRPr="000A46C9">
        <w:rPr>
          <w:iCs/>
          <w:sz w:val="22"/>
          <w:szCs w:val="22"/>
        </w:rPr>
        <w:t xml:space="preserve">In order to reduce UE complexity and UE cost NB-IoT and eMTC devices support half-duplex FDD mode. In such mode simultaneous transmission and reception is not possible as it is done in normal FDD operation. It is assumed that in order to achieve time synchronisation for UL transmission UE applies additional TA to compensate delay introduced in the service link. The value of additional TA is calculated at the UE side autonomously based on GNSS information and satellite ephemeris. If the value of the additional delay is not known by the eNB, UL transmission can collide with DL reception at the UE side. </w:t>
      </w:r>
      <w:r w:rsidR="00E573EE">
        <w:rPr>
          <w:iCs/>
          <w:sz w:val="22"/>
          <w:szCs w:val="22"/>
        </w:rPr>
        <w:t>At the RAN1</w:t>
      </w:r>
      <w:r w:rsidR="00D47EA0">
        <w:rPr>
          <w:iCs/>
          <w:sz w:val="22"/>
          <w:szCs w:val="22"/>
        </w:rPr>
        <w:t>#106-e</w:t>
      </w:r>
      <w:r w:rsidR="00E573EE">
        <w:rPr>
          <w:iCs/>
          <w:sz w:val="22"/>
          <w:szCs w:val="22"/>
        </w:rPr>
        <w:t xml:space="preserve"> meeting it was agreed to support</w:t>
      </w:r>
      <w:r w:rsidRPr="000A46C9">
        <w:rPr>
          <w:iCs/>
          <w:sz w:val="22"/>
          <w:szCs w:val="22"/>
        </w:rPr>
        <w:t xml:space="preserve"> reporting of additional TA applied by the UE to compensate service link delay.</w:t>
      </w:r>
      <w:r w:rsidR="001D6309">
        <w:rPr>
          <w:iCs/>
          <w:sz w:val="22"/>
          <w:szCs w:val="22"/>
        </w:rPr>
        <w:t xml:space="preserve"> </w:t>
      </w:r>
    </w:p>
    <w:p w14:paraId="117C919F" w14:textId="13118C50" w:rsidR="008C583E" w:rsidRPr="008C583E" w:rsidRDefault="00FA6DD1" w:rsidP="008C583E">
      <w:pPr>
        <w:spacing w:before="240" w:after="240"/>
        <w:jc w:val="both"/>
        <w:rPr>
          <w:iCs/>
          <w:sz w:val="22"/>
          <w:szCs w:val="22"/>
        </w:rPr>
      </w:pPr>
      <w:r w:rsidRPr="008C583E">
        <w:rPr>
          <w:iCs/>
          <w:sz w:val="22"/>
          <w:szCs w:val="22"/>
        </w:rPr>
        <w:t>To</w:t>
      </w:r>
      <w:r w:rsidR="008C583E">
        <w:rPr>
          <w:iCs/>
          <w:sz w:val="22"/>
          <w:szCs w:val="22"/>
        </w:rPr>
        <w:t xml:space="preserve"> track the variations in the TA value over time</w:t>
      </w:r>
      <w:r w:rsidR="009F6D50">
        <w:rPr>
          <w:iCs/>
          <w:sz w:val="22"/>
          <w:szCs w:val="22"/>
        </w:rPr>
        <w:t>,</w:t>
      </w:r>
      <w:r w:rsidR="008C583E">
        <w:rPr>
          <w:iCs/>
          <w:sz w:val="22"/>
          <w:szCs w:val="22"/>
        </w:rPr>
        <w:t xml:space="preserve"> report of UE-specific TA can be updated. </w:t>
      </w:r>
      <w:r w:rsidR="00D1508C">
        <w:rPr>
          <w:iCs/>
          <w:sz w:val="22"/>
          <w:szCs w:val="22"/>
        </w:rPr>
        <w:t>To</w:t>
      </w:r>
      <w:r w:rsidR="008C583E">
        <w:rPr>
          <w:iCs/>
          <w:sz w:val="22"/>
          <w:szCs w:val="22"/>
        </w:rPr>
        <w:t xml:space="preserve"> reduce the overhead some </w:t>
      </w:r>
      <w:r w:rsidR="00D1508C">
        <w:rPr>
          <w:iCs/>
          <w:sz w:val="22"/>
          <w:szCs w:val="22"/>
        </w:rPr>
        <w:t>enhancements</w:t>
      </w:r>
      <w:r w:rsidR="008C583E">
        <w:rPr>
          <w:iCs/>
          <w:sz w:val="22"/>
          <w:szCs w:val="22"/>
        </w:rPr>
        <w:t xml:space="preserve"> may be considered. For example, r</w:t>
      </w:r>
      <w:r w:rsidR="008C583E" w:rsidRPr="008C583E">
        <w:rPr>
          <w:iCs/>
          <w:sz w:val="22"/>
          <w:szCs w:val="22"/>
        </w:rPr>
        <w:t>eporting of information to extrapolate/interpolate UE-specific TA</w:t>
      </w:r>
      <w:r w:rsidR="00903FBE">
        <w:rPr>
          <w:iCs/>
          <w:sz w:val="22"/>
          <w:szCs w:val="22"/>
        </w:rPr>
        <w:t xml:space="preserve"> can be </w:t>
      </w:r>
      <w:r w:rsidR="005C01A6">
        <w:rPr>
          <w:iCs/>
          <w:sz w:val="22"/>
          <w:szCs w:val="22"/>
        </w:rPr>
        <w:t>used</w:t>
      </w:r>
      <w:r w:rsidR="004C4C3A">
        <w:rPr>
          <w:iCs/>
          <w:sz w:val="22"/>
          <w:szCs w:val="22"/>
        </w:rPr>
        <w:t>.</w:t>
      </w:r>
      <w:r w:rsidR="00903FBE">
        <w:rPr>
          <w:iCs/>
          <w:sz w:val="22"/>
          <w:szCs w:val="22"/>
        </w:rPr>
        <w:t xml:space="preserve"> </w:t>
      </w:r>
      <w:r w:rsidR="004C4C3A">
        <w:rPr>
          <w:iCs/>
          <w:sz w:val="22"/>
          <w:szCs w:val="22"/>
        </w:rPr>
        <w:t xml:space="preserve">If UE-specific TA is reported with a </w:t>
      </w:r>
      <w:r w:rsidR="00B34594">
        <w:rPr>
          <w:iCs/>
          <w:sz w:val="22"/>
          <w:szCs w:val="22"/>
        </w:rPr>
        <w:t xml:space="preserve">granularity of one slot/subframe, series of values can be reported in one reporting instance in order to decrease the </w:t>
      </w:r>
      <w:r w:rsidR="00CF33D5">
        <w:rPr>
          <w:iCs/>
          <w:sz w:val="22"/>
          <w:szCs w:val="22"/>
        </w:rPr>
        <w:t>update periodicity</w:t>
      </w:r>
      <w:r w:rsidR="00903FBE">
        <w:rPr>
          <w:iCs/>
          <w:sz w:val="22"/>
          <w:szCs w:val="22"/>
        </w:rPr>
        <w:t>.</w:t>
      </w:r>
      <w:r w:rsidR="00CF33D5">
        <w:rPr>
          <w:iCs/>
          <w:sz w:val="22"/>
          <w:szCs w:val="22"/>
        </w:rPr>
        <w:t xml:space="preserve"> </w:t>
      </w:r>
      <w:r w:rsidR="00F24CB5">
        <w:rPr>
          <w:iCs/>
          <w:sz w:val="22"/>
          <w:szCs w:val="22"/>
        </w:rPr>
        <w:t xml:space="preserve">In this case differential encoding scheme can be applied, where </w:t>
      </w:r>
      <w:r w:rsidR="00DD4488">
        <w:rPr>
          <w:iCs/>
          <w:sz w:val="22"/>
          <w:szCs w:val="22"/>
        </w:rPr>
        <w:t>the first TA value</w:t>
      </w:r>
      <w:r w:rsidR="00217DB3">
        <w:rPr>
          <w:iCs/>
          <w:sz w:val="22"/>
          <w:szCs w:val="22"/>
        </w:rPr>
        <w:t xml:space="preserve"> and difference of other TA values from the first one</w:t>
      </w:r>
      <w:r w:rsidR="00DD4488">
        <w:rPr>
          <w:iCs/>
          <w:sz w:val="22"/>
          <w:szCs w:val="22"/>
        </w:rPr>
        <w:t xml:space="preserve"> is </w:t>
      </w:r>
      <w:r w:rsidR="0098037A">
        <w:rPr>
          <w:iCs/>
          <w:sz w:val="22"/>
          <w:szCs w:val="22"/>
        </w:rPr>
        <w:t>reported by the UE.</w:t>
      </w:r>
      <w:r w:rsidR="00903FBE">
        <w:rPr>
          <w:iCs/>
          <w:sz w:val="22"/>
          <w:szCs w:val="22"/>
        </w:rPr>
        <w:t xml:space="preserve"> </w:t>
      </w:r>
    </w:p>
    <w:p w14:paraId="7728E2F9" w14:textId="5F6540D0" w:rsidR="00903FBE" w:rsidRDefault="00903FBE" w:rsidP="00903FBE">
      <w:pPr>
        <w:spacing w:before="240" w:after="240"/>
        <w:jc w:val="both"/>
        <w:rPr>
          <w:b/>
          <w:bCs/>
          <w:i/>
          <w:sz w:val="22"/>
          <w:szCs w:val="22"/>
        </w:rPr>
      </w:pPr>
      <w:r w:rsidRPr="00903FBE">
        <w:rPr>
          <w:b/>
          <w:bCs/>
          <w:i/>
          <w:sz w:val="22"/>
          <w:szCs w:val="22"/>
        </w:rPr>
        <w:t xml:space="preserve">Proposal </w:t>
      </w:r>
      <w:r w:rsidR="00F70617">
        <w:rPr>
          <w:b/>
          <w:bCs/>
          <w:i/>
          <w:sz w:val="22"/>
          <w:szCs w:val="22"/>
        </w:rPr>
        <w:t>1</w:t>
      </w:r>
      <w:r w:rsidRPr="00903FBE">
        <w:rPr>
          <w:b/>
          <w:bCs/>
          <w:i/>
          <w:sz w:val="22"/>
          <w:szCs w:val="22"/>
        </w:rPr>
        <w:t xml:space="preserve">: </w:t>
      </w:r>
    </w:p>
    <w:p w14:paraId="5460D547" w14:textId="0C4FB42C" w:rsidR="00FA2811" w:rsidRPr="00D4150D" w:rsidRDefault="00931DA8" w:rsidP="00D4150D">
      <w:pPr>
        <w:pStyle w:val="ListParagraph"/>
        <w:numPr>
          <w:ilvl w:val="0"/>
          <w:numId w:val="43"/>
        </w:numPr>
        <w:spacing w:before="240"/>
        <w:jc w:val="both"/>
        <w:rPr>
          <w:rFonts w:ascii="Times New Roman" w:hAnsi="Times New Roman"/>
          <w:i/>
        </w:rPr>
      </w:pPr>
      <w:r w:rsidRPr="00F130DA">
        <w:rPr>
          <w:rFonts w:ascii="Times New Roman" w:hAnsi="Times New Roman"/>
          <w:i/>
        </w:rPr>
        <w:t xml:space="preserve">Support </w:t>
      </w:r>
      <w:r w:rsidR="008A0E8B">
        <w:rPr>
          <w:rFonts w:ascii="Times New Roman" w:hAnsi="Times New Roman"/>
          <w:i/>
        </w:rPr>
        <w:t xml:space="preserve">reporting of </w:t>
      </w:r>
      <w:r w:rsidR="008A0E8B" w:rsidRPr="00F130DA">
        <w:rPr>
          <w:rFonts w:ascii="Times New Roman" w:hAnsi="Times New Roman"/>
          <w:i/>
        </w:rPr>
        <w:t>series of values with differ</w:t>
      </w:r>
      <w:r w:rsidR="008A0E8B">
        <w:rPr>
          <w:rFonts w:ascii="Times New Roman" w:hAnsi="Times New Roman"/>
          <w:i/>
        </w:rPr>
        <w:t>e</w:t>
      </w:r>
      <w:r w:rsidR="008A0E8B" w:rsidRPr="00F130DA">
        <w:rPr>
          <w:rFonts w:ascii="Times New Roman" w:hAnsi="Times New Roman"/>
          <w:i/>
        </w:rPr>
        <w:t>ntial encoding scheme</w:t>
      </w:r>
      <w:r w:rsidR="008A0E8B">
        <w:rPr>
          <w:rFonts w:ascii="Times New Roman" w:hAnsi="Times New Roman"/>
          <w:i/>
        </w:rPr>
        <w:t xml:space="preserve"> for</w:t>
      </w:r>
      <w:r w:rsidRPr="00F130DA">
        <w:rPr>
          <w:rFonts w:ascii="Times New Roman" w:hAnsi="Times New Roman"/>
          <w:i/>
        </w:rPr>
        <w:t xml:space="preserve"> UE-specific TA reporting </w:t>
      </w:r>
      <w:r w:rsidR="000934E8">
        <w:rPr>
          <w:rFonts w:ascii="Times New Roman" w:hAnsi="Times New Roman"/>
          <w:i/>
        </w:rPr>
        <w:t xml:space="preserve">to decrease </w:t>
      </w:r>
      <w:r w:rsidRPr="00F130DA">
        <w:rPr>
          <w:rFonts w:ascii="Times New Roman" w:hAnsi="Times New Roman"/>
          <w:i/>
        </w:rPr>
        <w:t>overhead</w:t>
      </w:r>
    </w:p>
    <w:p w14:paraId="4A7745C1" w14:textId="51B9C0F9" w:rsidR="00A422EA" w:rsidRPr="00A422EA" w:rsidRDefault="00D02036" w:rsidP="00A422EA">
      <w:pPr>
        <w:spacing w:before="240"/>
        <w:jc w:val="both"/>
        <w:rPr>
          <w:iCs/>
          <w:sz w:val="22"/>
          <w:szCs w:val="22"/>
        </w:rPr>
      </w:pPr>
      <w:r>
        <w:rPr>
          <w:iCs/>
          <w:sz w:val="22"/>
          <w:szCs w:val="22"/>
        </w:rPr>
        <w:t>At the RAN1</w:t>
      </w:r>
      <w:r w:rsidR="00966D1D">
        <w:rPr>
          <w:iCs/>
          <w:sz w:val="22"/>
          <w:szCs w:val="22"/>
        </w:rPr>
        <w:t>#106-e</w:t>
      </w:r>
      <w:r>
        <w:rPr>
          <w:iCs/>
          <w:sz w:val="22"/>
          <w:szCs w:val="22"/>
        </w:rPr>
        <w:t xml:space="preserve"> meeting it was agreed </w:t>
      </w:r>
      <w:r w:rsidR="001506B7">
        <w:rPr>
          <w:iCs/>
          <w:sz w:val="22"/>
          <w:szCs w:val="22"/>
        </w:rPr>
        <w:t xml:space="preserve">to support update of </w:t>
      </w:r>
      <w:r w:rsidR="00A57F1E">
        <w:rPr>
          <w:iCs/>
          <w:sz w:val="22"/>
          <w:szCs w:val="22"/>
        </w:rPr>
        <w:t>K_offset value for UEs in RRC_CON</w:t>
      </w:r>
      <w:r w:rsidR="0025725B">
        <w:rPr>
          <w:iCs/>
          <w:sz w:val="22"/>
          <w:szCs w:val="22"/>
        </w:rPr>
        <w:t>N</w:t>
      </w:r>
      <w:r w:rsidR="00A57F1E">
        <w:rPr>
          <w:iCs/>
          <w:sz w:val="22"/>
          <w:szCs w:val="22"/>
        </w:rPr>
        <w:t>ECTED state</w:t>
      </w:r>
      <w:r w:rsidR="0025725B">
        <w:rPr>
          <w:iCs/>
          <w:sz w:val="22"/>
          <w:szCs w:val="22"/>
        </w:rPr>
        <w:t xml:space="preserve">. </w:t>
      </w:r>
      <w:r w:rsidR="004627BF">
        <w:rPr>
          <w:iCs/>
          <w:sz w:val="22"/>
          <w:szCs w:val="22"/>
        </w:rPr>
        <w:t xml:space="preserve">However, there are </w:t>
      </w:r>
      <w:r w:rsidR="00BB2DCD">
        <w:rPr>
          <w:iCs/>
          <w:sz w:val="22"/>
          <w:szCs w:val="22"/>
        </w:rPr>
        <w:t xml:space="preserve">no details on signalling design for the update of K_offset. In our view the same design of </w:t>
      </w:r>
      <w:r w:rsidR="00BB2DCD">
        <w:rPr>
          <w:iCs/>
          <w:sz w:val="22"/>
          <w:szCs w:val="22"/>
        </w:rPr>
        <w:lastRenderedPageBreak/>
        <w:t>K_offset update as for NR NTN can be re</w:t>
      </w:r>
      <w:r w:rsidR="00723A65">
        <w:rPr>
          <w:iCs/>
          <w:sz w:val="22"/>
          <w:szCs w:val="22"/>
        </w:rPr>
        <w:t>used</w:t>
      </w:r>
      <w:r w:rsidR="00BB2DCD">
        <w:rPr>
          <w:iCs/>
          <w:sz w:val="22"/>
          <w:szCs w:val="22"/>
        </w:rPr>
        <w:t xml:space="preserve"> for IoT-NTN</w:t>
      </w:r>
      <w:r w:rsidR="00723A65">
        <w:rPr>
          <w:iCs/>
          <w:sz w:val="22"/>
          <w:szCs w:val="22"/>
        </w:rPr>
        <w:t xml:space="preserve">. For NR NTN </w:t>
      </w:r>
      <w:r w:rsidR="00F56C24">
        <w:rPr>
          <w:iCs/>
          <w:sz w:val="22"/>
          <w:szCs w:val="22"/>
        </w:rPr>
        <w:t>it was agreed to support update of K_offset via MAC CE. Furthermore, in order to reduce the number of bits for K_offset</w:t>
      </w:r>
      <w:r w:rsidR="00E9730A">
        <w:rPr>
          <w:iCs/>
          <w:sz w:val="22"/>
          <w:szCs w:val="22"/>
        </w:rPr>
        <w:t>,</w:t>
      </w:r>
      <w:r w:rsidR="00F56C24">
        <w:rPr>
          <w:iCs/>
          <w:sz w:val="22"/>
          <w:szCs w:val="22"/>
        </w:rPr>
        <w:t xml:space="preserve"> difference of </w:t>
      </w:r>
      <w:r w:rsidR="00647E98">
        <w:rPr>
          <w:iCs/>
          <w:sz w:val="22"/>
          <w:szCs w:val="22"/>
        </w:rPr>
        <w:t>K_offset from SI and K_offset from MAC CE can be indicated in MAC CE.</w:t>
      </w:r>
    </w:p>
    <w:p w14:paraId="07D11EFE" w14:textId="51846847" w:rsidR="009C434B" w:rsidRPr="009C434B" w:rsidRDefault="009C434B" w:rsidP="000847E4">
      <w:pPr>
        <w:spacing w:before="240"/>
        <w:jc w:val="both"/>
        <w:rPr>
          <w:i/>
          <w:sz w:val="22"/>
          <w:szCs w:val="22"/>
        </w:rPr>
      </w:pPr>
      <w:r w:rsidRPr="00A422EA">
        <w:rPr>
          <w:b/>
          <w:bCs/>
          <w:i/>
          <w:sz w:val="22"/>
          <w:szCs w:val="22"/>
        </w:rPr>
        <w:t xml:space="preserve">Proposal </w:t>
      </w:r>
      <w:r w:rsidR="00EA5092">
        <w:rPr>
          <w:b/>
          <w:bCs/>
          <w:i/>
          <w:sz w:val="22"/>
          <w:szCs w:val="22"/>
        </w:rPr>
        <w:t>2</w:t>
      </w:r>
      <w:r w:rsidRPr="00A422EA">
        <w:rPr>
          <w:i/>
          <w:sz w:val="22"/>
          <w:szCs w:val="22"/>
        </w:rPr>
        <w:t xml:space="preserve">: </w:t>
      </w:r>
    </w:p>
    <w:p w14:paraId="5BC2BBD0" w14:textId="713DC66E" w:rsidR="000847E4" w:rsidRPr="00851EAD" w:rsidRDefault="000847E4" w:rsidP="00851EAD">
      <w:pPr>
        <w:pStyle w:val="ListParagraph"/>
        <w:numPr>
          <w:ilvl w:val="0"/>
          <w:numId w:val="43"/>
        </w:numPr>
        <w:spacing w:before="240"/>
        <w:jc w:val="both"/>
        <w:rPr>
          <w:rFonts w:ascii="Times New Roman" w:hAnsi="Times New Roman"/>
          <w:i/>
        </w:rPr>
      </w:pPr>
      <w:r w:rsidRPr="00851EAD">
        <w:rPr>
          <w:rFonts w:ascii="Times New Roman" w:hAnsi="Times New Roman"/>
          <w:i/>
        </w:rPr>
        <w:t xml:space="preserve">The same signalling design for UE-specific K_offset is used for IoT NTN and NR NTN </w:t>
      </w:r>
    </w:p>
    <w:p w14:paraId="58AC087B" w14:textId="6176E18D" w:rsidR="000847E4" w:rsidRPr="00851EAD" w:rsidRDefault="000847E4" w:rsidP="00851EAD">
      <w:pPr>
        <w:pStyle w:val="ListParagraph"/>
        <w:numPr>
          <w:ilvl w:val="1"/>
          <w:numId w:val="43"/>
        </w:numPr>
        <w:spacing w:before="240"/>
        <w:jc w:val="both"/>
        <w:rPr>
          <w:rFonts w:ascii="Times New Roman" w:hAnsi="Times New Roman"/>
          <w:i/>
        </w:rPr>
      </w:pPr>
      <w:r w:rsidRPr="00851EAD">
        <w:rPr>
          <w:rFonts w:ascii="Times New Roman" w:hAnsi="Times New Roman"/>
          <w:i/>
        </w:rPr>
        <w:t>UE-specific K_offset is indicated via MAC CE</w:t>
      </w:r>
    </w:p>
    <w:p w14:paraId="244A3D91" w14:textId="10B9132C" w:rsidR="002857B6" w:rsidRDefault="000847E4" w:rsidP="00851EAD">
      <w:pPr>
        <w:pStyle w:val="ListParagraph"/>
        <w:numPr>
          <w:ilvl w:val="1"/>
          <w:numId w:val="43"/>
        </w:numPr>
        <w:spacing w:before="240"/>
        <w:jc w:val="both"/>
        <w:rPr>
          <w:rFonts w:ascii="Times New Roman" w:hAnsi="Times New Roman"/>
          <w:i/>
        </w:rPr>
      </w:pPr>
      <w:r w:rsidRPr="00851EAD">
        <w:rPr>
          <w:rFonts w:ascii="Times New Roman" w:hAnsi="Times New Roman"/>
          <w:i/>
        </w:rPr>
        <w:t>Indication of difference between cell-specific K_offset and UE-specific K_offset can be considered</w:t>
      </w:r>
    </w:p>
    <w:p w14:paraId="5CAB6469" w14:textId="5A80D067" w:rsidR="003227A4" w:rsidRDefault="00E57DAB" w:rsidP="003227A4">
      <w:pPr>
        <w:spacing w:before="240"/>
        <w:jc w:val="both"/>
        <w:rPr>
          <w:iCs/>
          <w:sz w:val="22"/>
          <w:szCs w:val="22"/>
        </w:rPr>
      </w:pPr>
      <w:r>
        <w:rPr>
          <w:iCs/>
          <w:sz w:val="22"/>
          <w:szCs w:val="22"/>
        </w:rPr>
        <w:t xml:space="preserve">At the last RAN1 meeting the following </w:t>
      </w:r>
      <w:r w:rsidR="00574EFC">
        <w:rPr>
          <w:iCs/>
          <w:sz w:val="22"/>
          <w:szCs w:val="22"/>
        </w:rPr>
        <w:t>agreement</w:t>
      </w:r>
      <w:r>
        <w:rPr>
          <w:iCs/>
          <w:sz w:val="22"/>
          <w:szCs w:val="22"/>
        </w:rPr>
        <w:t xml:space="preserve"> w</w:t>
      </w:r>
      <w:r w:rsidR="00A702AA">
        <w:rPr>
          <w:iCs/>
          <w:sz w:val="22"/>
          <w:szCs w:val="22"/>
        </w:rPr>
        <w:t>as</w:t>
      </w:r>
      <w:r>
        <w:rPr>
          <w:iCs/>
          <w:sz w:val="22"/>
          <w:szCs w:val="22"/>
        </w:rPr>
        <w:t xml:space="preserve"> made on </w:t>
      </w:r>
      <w:r w:rsidR="001B117F">
        <w:rPr>
          <w:iCs/>
          <w:sz w:val="22"/>
          <w:szCs w:val="22"/>
        </w:rPr>
        <w:t xml:space="preserve">timing for NPDCCH monitoring restrictions specified for NB-IoT. </w:t>
      </w:r>
    </w:p>
    <w:tbl>
      <w:tblPr>
        <w:tblStyle w:val="TableGrid"/>
        <w:tblW w:w="0" w:type="auto"/>
        <w:tblLook w:val="04A0" w:firstRow="1" w:lastRow="0" w:firstColumn="1" w:lastColumn="0" w:noHBand="0" w:noVBand="1"/>
      </w:tblPr>
      <w:tblGrid>
        <w:gridCol w:w="10160"/>
      </w:tblGrid>
      <w:tr w:rsidR="001B117F" w14:paraId="0A9EC55A" w14:textId="77777777" w:rsidTr="001B117F">
        <w:tc>
          <w:tcPr>
            <w:tcW w:w="10160" w:type="dxa"/>
          </w:tcPr>
          <w:p w14:paraId="142ABB10" w14:textId="77777777" w:rsidR="00A702AA" w:rsidRPr="00A702AA" w:rsidRDefault="00A702AA" w:rsidP="00A702AA">
            <w:pPr>
              <w:overflowPunct/>
              <w:autoSpaceDE/>
              <w:autoSpaceDN/>
              <w:adjustRightInd/>
              <w:spacing w:before="0" w:after="0"/>
              <w:textAlignment w:val="auto"/>
              <w:rPr>
                <w:rFonts w:ascii="Times" w:eastAsia="Batang" w:hAnsi="Times"/>
                <w:szCs w:val="24"/>
                <w:lang w:eastAsia="x-none"/>
              </w:rPr>
            </w:pPr>
            <w:r w:rsidRPr="00A702AA">
              <w:rPr>
                <w:rFonts w:ascii="Times" w:eastAsia="Batang" w:hAnsi="Times"/>
                <w:szCs w:val="24"/>
                <w:highlight w:val="green"/>
                <w:lang w:eastAsia="x-none"/>
              </w:rPr>
              <w:t>Agreement:</w:t>
            </w:r>
          </w:p>
          <w:p w14:paraId="46571374" w14:textId="77777777" w:rsidR="00A702AA" w:rsidRPr="00A702AA" w:rsidRDefault="00A702AA" w:rsidP="00A702AA">
            <w:pPr>
              <w:overflowPunct/>
              <w:autoSpaceDE/>
              <w:autoSpaceDN/>
              <w:adjustRightInd/>
              <w:spacing w:before="0" w:after="0"/>
              <w:textAlignment w:val="auto"/>
              <w:rPr>
                <w:rFonts w:ascii="Times" w:eastAsia="Batang" w:hAnsi="Times"/>
                <w:szCs w:val="24"/>
              </w:rPr>
            </w:pPr>
            <w:r w:rsidRPr="00A702AA">
              <w:rPr>
                <w:rFonts w:ascii="Times" w:eastAsia="Batang" w:hAnsi="Times"/>
                <w:szCs w:val="24"/>
              </w:rPr>
              <w:t>NPDCCH monitoring restrictions have been identified for further checking to see if changes for NB-IoT need to be made for the following cases:</w:t>
            </w:r>
          </w:p>
          <w:p w14:paraId="15921D4A"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Batang"/>
                <w:szCs w:val="24"/>
                <w:lang w:eastAsia="x-none"/>
              </w:rPr>
            </w:pPr>
            <w:r w:rsidRPr="00A702AA">
              <w:rPr>
                <w:rFonts w:eastAsia="Batang"/>
                <w:szCs w:val="24"/>
                <w:lang w:eastAsia="x-none"/>
              </w:rPr>
              <w:t>case 1: MTBG NPUSCH</w:t>
            </w:r>
          </w:p>
          <w:p w14:paraId="217A52B0"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Batang"/>
                <w:szCs w:val="24"/>
                <w:lang w:eastAsia="x-none"/>
              </w:rPr>
            </w:pPr>
            <w:r w:rsidRPr="00A702AA">
              <w:rPr>
                <w:rFonts w:eastAsia="Times New Roman"/>
                <w:szCs w:val="24"/>
                <w:lang w:eastAsia="zh-CN"/>
              </w:rPr>
              <w:t>case 2: 2 NPUSCH HARQ processes scheduled</w:t>
            </w:r>
          </w:p>
          <w:p w14:paraId="6CC2E341"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3: long single NPUSCH when MTBG or 2HARQ configured</w:t>
            </w:r>
          </w:p>
          <w:p w14:paraId="0B953319"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4: single NPUSCH scheduled by DCI format N0 or RAR</w:t>
            </w:r>
          </w:p>
          <w:p w14:paraId="75D5EA92"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5: NPUSCH format 2 in response to DCI format N1</w:t>
            </w:r>
          </w:p>
          <w:p w14:paraId="2A94CE7D"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6: NPRACH in response to PDCCH order</w:t>
            </w:r>
          </w:p>
          <w:p w14:paraId="29C2572C"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7: NPUSCH with same HARQ process when 2 HARQ configured</w:t>
            </w:r>
          </w:p>
          <w:p w14:paraId="1F96EA95"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8: subframes after NPUSCH processing</w:t>
            </w:r>
          </w:p>
          <w:p w14:paraId="7BB2276C"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9: subframes after NPUSCH carrying Msg3</w:t>
            </w:r>
          </w:p>
          <w:p w14:paraId="7C9F5D81"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10: NPRACH for SR for long NPRACH transmissions</w:t>
            </w:r>
          </w:p>
          <w:p w14:paraId="08D32710"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case 11: NPRACH for SR for short NPRACH transmissions</w:t>
            </w:r>
          </w:p>
          <w:p w14:paraId="278E3468" w14:textId="77777777" w:rsidR="00A702AA" w:rsidRPr="00A702AA" w:rsidRDefault="00A702AA" w:rsidP="00A702AA">
            <w:pPr>
              <w:numPr>
                <w:ilvl w:val="0"/>
                <w:numId w:val="44"/>
              </w:numPr>
              <w:overflowPunct/>
              <w:autoSpaceDE/>
              <w:autoSpaceDN/>
              <w:adjustRightInd/>
              <w:snapToGrid w:val="0"/>
              <w:spacing w:before="0" w:after="0"/>
              <w:textAlignment w:val="auto"/>
              <w:rPr>
                <w:rFonts w:eastAsia="Times New Roman"/>
                <w:szCs w:val="24"/>
                <w:lang w:eastAsia="zh-CN"/>
              </w:rPr>
            </w:pPr>
            <w:r w:rsidRPr="00A702AA">
              <w:rPr>
                <w:rFonts w:eastAsia="Times New Roman"/>
                <w:szCs w:val="24"/>
                <w:lang w:eastAsia="zh-CN"/>
              </w:rPr>
              <w:t>FFS: the changes in each case</w:t>
            </w:r>
          </w:p>
          <w:p w14:paraId="7CCAC970" w14:textId="157D37FA" w:rsidR="001B117F" w:rsidRDefault="00A702AA" w:rsidP="00814C27">
            <w:pPr>
              <w:numPr>
                <w:ilvl w:val="0"/>
                <w:numId w:val="44"/>
              </w:numPr>
              <w:overflowPunct/>
              <w:autoSpaceDE/>
              <w:autoSpaceDN/>
              <w:adjustRightInd/>
              <w:snapToGrid w:val="0"/>
              <w:spacing w:before="0"/>
              <w:textAlignment w:val="auto"/>
              <w:rPr>
                <w:iCs/>
                <w:sz w:val="22"/>
                <w:szCs w:val="22"/>
              </w:rPr>
            </w:pPr>
            <w:r w:rsidRPr="00A702AA">
              <w:rPr>
                <w:rFonts w:eastAsia="Times New Roman"/>
                <w:szCs w:val="24"/>
                <w:lang w:eastAsia="zh-CN"/>
              </w:rPr>
              <w:t>FFS: additional cases</w:t>
            </w:r>
          </w:p>
        </w:tc>
      </w:tr>
    </w:tbl>
    <w:p w14:paraId="3829C2CA" w14:textId="77777777" w:rsidR="00A10BBE" w:rsidRDefault="004F22A0" w:rsidP="003227A4">
      <w:pPr>
        <w:spacing w:before="240"/>
        <w:jc w:val="both"/>
        <w:rPr>
          <w:iCs/>
          <w:sz w:val="22"/>
          <w:szCs w:val="22"/>
        </w:rPr>
      </w:pPr>
      <w:r>
        <w:rPr>
          <w:iCs/>
          <w:sz w:val="22"/>
          <w:szCs w:val="22"/>
        </w:rPr>
        <w:t xml:space="preserve">For the list of cases presented in the above agreement </w:t>
      </w:r>
      <w:r w:rsidR="00CC2F74">
        <w:rPr>
          <w:iCs/>
          <w:sz w:val="22"/>
          <w:szCs w:val="22"/>
        </w:rPr>
        <w:t>N</w:t>
      </w:r>
      <w:r>
        <w:rPr>
          <w:iCs/>
          <w:sz w:val="22"/>
          <w:szCs w:val="22"/>
        </w:rPr>
        <w:t>PDCCH</w:t>
      </w:r>
      <w:r w:rsidR="00E411D7">
        <w:rPr>
          <w:iCs/>
          <w:sz w:val="22"/>
          <w:szCs w:val="22"/>
        </w:rPr>
        <w:t xml:space="preserve"> monitoring restrictions are specified in </w:t>
      </w:r>
      <w:r w:rsidR="007A695F" w:rsidRPr="007A695F">
        <w:rPr>
          <w:iCs/>
          <w:sz w:val="22"/>
          <w:szCs w:val="22"/>
        </w:rPr>
        <w:t>TS36.213 section 16.6</w:t>
      </w:r>
      <w:r w:rsidR="00A82030">
        <w:rPr>
          <w:iCs/>
          <w:sz w:val="22"/>
          <w:szCs w:val="22"/>
        </w:rPr>
        <w:t xml:space="preserve">. Starting and ending time for the restrictions are </w:t>
      </w:r>
      <w:r w:rsidR="00340BB4">
        <w:rPr>
          <w:iCs/>
          <w:sz w:val="22"/>
          <w:szCs w:val="22"/>
        </w:rPr>
        <w:t xml:space="preserve">specified as starting and ending subframe without considering UL or DL direction </w:t>
      </w:r>
      <w:r w:rsidR="000E6603">
        <w:rPr>
          <w:iCs/>
          <w:sz w:val="22"/>
          <w:szCs w:val="22"/>
        </w:rPr>
        <w:t>s</w:t>
      </w:r>
      <w:r w:rsidR="00340BB4">
        <w:rPr>
          <w:iCs/>
          <w:sz w:val="22"/>
          <w:szCs w:val="22"/>
        </w:rPr>
        <w:t>ince for terrestrial network the applied TA is smaller than subframe duration</w:t>
      </w:r>
      <w:r w:rsidR="000E6603">
        <w:rPr>
          <w:iCs/>
          <w:sz w:val="22"/>
          <w:szCs w:val="22"/>
        </w:rPr>
        <w:t>. Differentiation of UL and DL subframes is needed for NTN</w:t>
      </w:r>
      <w:r w:rsidR="00463E7C">
        <w:rPr>
          <w:iCs/>
          <w:sz w:val="22"/>
          <w:szCs w:val="22"/>
        </w:rPr>
        <w:t xml:space="preserve"> so the UE can apply the NPDCCH monitoring restrictions in proper time considering the difference in UL and DL timing due to TA. However, </w:t>
      </w:r>
      <w:r w:rsidR="00D9132D">
        <w:rPr>
          <w:iCs/>
          <w:sz w:val="22"/>
          <w:szCs w:val="22"/>
        </w:rPr>
        <w:t xml:space="preserve">TA applied by the UE </w:t>
      </w:r>
      <w:r w:rsidR="00463E7C">
        <w:rPr>
          <w:iCs/>
          <w:sz w:val="22"/>
          <w:szCs w:val="22"/>
        </w:rPr>
        <w:t xml:space="preserve">for NTN </w:t>
      </w:r>
      <w:r w:rsidR="00D9132D">
        <w:rPr>
          <w:iCs/>
          <w:sz w:val="22"/>
          <w:szCs w:val="22"/>
        </w:rPr>
        <w:t xml:space="preserve">is not fully known at the gNB. Even if reporting of the TA is supported </w:t>
      </w:r>
      <w:r w:rsidR="00ED33D8">
        <w:rPr>
          <w:iCs/>
          <w:sz w:val="22"/>
          <w:szCs w:val="22"/>
        </w:rPr>
        <w:t xml:space="preserve">UE can update the TA in the interval between two reports. Thus, some margin is needed for the NPDCCH monitoring restrictions to consider the uncertainty in the TA. </w:t>
      </w:r>
      <w:r w:rsidR="00994F4B">
        <w:rPr>
          <w:iCs/>
          <w:sz w:val="22"/>
          <w:szCs w:val="22"/>
        </w:rPr>
        <w:t xml:space="preserve">In our view there is no need </w:t>
      </w:r>
      <w:r w:rsidR="00E625DB">
        <w:rPr>
          <w:iCs/>
          <w:sz w:val="22"/>
          <w:szCs w:val="22"/>
        </w:rPr>
        <w:t xml:space="preserve">to specify this additional margin since it is up the gNB to control the transmission </w:t>
      </w:r>
      <w:r w:rsidR="00D6369B">
        <w:rPr>
          <w:iCs/>
          <w:sz w:val="22"/>
          <w:szCs w:val="22"/>
        </w:rPr>
        <w:t>of NPDCCH</w:t>
      </w:r>
      <w:r w:rsidR="006248A4">
        <w:rPr>
          <w:iCs/>
          <w:sz w:val="22"/>
          <w:szCs w:val="22"/>
        </w:rPr>
        <w:t xml:space="preserve"> so gNB shall make sure that UE is monitoring the corresponding search space when NPDCCH is </w:t>
      </w:r>
      <w:r w:rsidR="004C10C2">
        <w:rPr>
          <w:iCs/>
          <w:sz w:val="22"/>
          <w:szCs w:val="22"/>
        </w:rPr>
        <w:t>transmitted</w:t>
      </w:r>
      <w:r w:rsidR="00D6369B">
        <w:rPr>
          <w:iCs/>
          <w:sz w:val="22"/>
          <w:szCs w:val="22"/>
        </w:rPr>
        <w:t>.</w:t>
      </w:r>
    </w:p>
    <w:p w14:paraId="5FDF6248" w14:textId="44E6E7FA" w:rsidR="00BF7BBD" w:rsidRPr="00DB38CF" w:rsidRDefault="00BF7BBD" w:rsidP="003227A4">
      <w:pPr>
        <w:spacing w:before="240"/>
        <w:jc w:val="both"/>
        <w:rPr>
          <w:i/>
          <w:sz w:val="22"/>
          <w:szCs w:val="22"/>
        </w:rPr>
      </w:pPr>
      <w:r w:rsidRPr="00DB38CF">
        <w:rPr>
          <w:b/>
          <w:bCs/>
          <w:i/>
          <w:sz w:val="22"/>
          <w:szCs w:val="22"/>
        </w:rPr>
        <w:t>Proposal 3</w:t>
      </w:r>
      <w:r w:rsidRPr="00DB38CF">
        <w:rPr>
          <w:i/>
          <w:sz w:val="22"/>
          <w:szCs w:val="22"/>
        </w:rPr>
        <w:t xml:space="preserve">: </w:t>
      </w:r>
    </w:p>
    <w:p w14:paraId="7BDAFE7C" w14:textId="76479258" w:rsidR="001B117F" w:rsidRPr="00DB38CF" w:rsidRDefault="00BF7BBD" w:rsidP="00BF7BBD">
      <w:pPr>
        <w:pStyle w:val="ListParagraph"/>
        <w:numPr>
          <w:ilvl w:val="0"/>
          <w:numId w:val="43"/>
        </w:numPr>
        <w:spacing w:before="240"/>
        <w:jc w:val="both"/>
        <w:rPr>
          <w:rFonts w:ascii="Times New Roman" w:hAnsi="Times New Roman"/>
          <w:i/>
        </w:rPr>
      </w:pPr>
      <w:r w:rsidRPr="00DB38CF">
        <w:rPr>
          <w:rFonts w:ascii="Times New Roman" w:hAnsi="Times New Roman"/>
          <w:i/>
        </w:rPr>
        <w:t xml:space="preserve">For the NPDCCH monitoring </w:t>
      </w:r>
      <w:r w:rsidR="0078224B" w:rsidRPr="00DB38CF">
        <w:rPr>
          <w:rFonts w:ascii="Times New Roman" w:hAnsi="Times New Roman"/>
          <w:i/>
        </w:rPr>
        <w:t>restrictions cases agreed at the last RAN1 meeting</w:t>
      </w:r>
    </w:p>
    <w:p w14:paraId="32C63826" w14:textId="4716BA30" w:rsidR="0078224B" w:rsidRPr="00DB38CF" w:rsidRDefault="001958C2" w:rsidP="0078224B">
      <w:pPr>
        <w:pStyle w:val="ListParagraph"/>
        <w:numPr>
          <w:ilvl w:val="1"/>
          <w:numId w:val="43"/>
        </w:numPr>
        <w:spacing w:before="240"/>
        <w:jc w:val="both"/>
        <w:rPr>
          <w:rFonts w:ascii="Times New Roman" w:hAnsi="Times New Roman"/>
          <w:i/>
        </w:rPr>
      </w:pPr>
      <w:r w:rsidRPr="00DB38CF">
        <w:rPr>
          <w:rFonts w:ascii="Times New Roman" w:hAnsi="Times New Roman"/>
          <w:i/>
        </w:rPr>
        <w:t>Subframe</w:t>
      </w:r>
      <w:r w:rsidR="00161849" w:rsidRPr="00DB38CF">
        <w:rPr>
          <w:rFonts w:ascii="Times New Roman" w:hAnsi="Times New Roman"/>
          <w:i/>
        </w:rPr>
        <w:t>s for</w:t>
      </w:r>
      <w:r w:rsidRPr="00DB38CF">
        <w:rPr>
          <w:rFonts w:ascii="Times New Roman" w:hAnsi="Times New Roman"/>
          <w:i/>
        </w:rPr>
        <w:t xml:space="preserve"> DL reception </w:t>
      </w:r>
      <w:r w:rsidR="00D27D85">
        <w:rPr>
          <w:rFonts w:ascii="Times New Roman" w:hAnsi="Times New Roman"/>
          <w:i/>
        </w:rPr>
        <w:t>are specified as</w:t>
      </w:r>
      <w:r w:rsidR="00161849" w:rsidRPr="00DB38CF">
        <w:rPr>
          <w:rFonts w:ascii="Times New Roman" w:hAnsi="Times New Roman"/>
          <w:i/>
        </w:rPr>
        <w:t xml:space="preserve"> DL subframe</w:t>
      </w:r>
    </w:p>
    <w:p w14:paraId="30EE8B27" w14:textId="058B06C3" w:rsidR="00161849" w:rsidRPr="00DB38CF" w:rsidRDefault="00161849" w:rsidP="0078224B">
      <w:pPr>
        <w:pStyle w:val="ListParagraph"/>
        <w:numPr>
          <w:ilvl w:val="1"/>
          <w:numId w:val="43"/>
        </w:numPr>
        <w:spacing w:before="240"/>
        <w:jc w:val="both"/>
        <w:rPr>
          <w:rFonts w:ascii="Times New Roman" w:hAnsi="Times New Roman"/>
          <w:i/>
        </w:rPr>
      </w:pPr>
      <w:r w:rsidRPr="00DB38CF">
        <w:rPr>
          <w:rFonts w:ascii="Times New Roman" w:hAnsi="Times New Roman"/>
          <w:i/>
        </w:rPr>
        <w:t xml:space="preserve">Subframes for UL transmission </w:t>
      </w:r>
      <w:r w:rsidR="00D27D85">
        <w:rPr>
          <w:rFonts w:ascii="Times New Roman" w:hAnsi="Times New Roman"/>
          <w:i/>
        </w:rPr>
        <w:t>are specified as</w:t>
      </w:r>
      <w:r w:rsidR="0034272D" w:rsidRPr="00DB38CF">
        <w:rPr>
          <w:rFonts w:ascii="Times New Roman" w:hAnsi="Times New Roman"/>
          <w:i/>
        </w:rPr>
        <w:t xml:space="preserve"> UL subframes</w:t>
      </w:r>
    </w:p>
    <w:p w14:paraId="37EBEE54" w14:textId="0339427B" w:rsidR="0034272D" w:rsidRPr="00DB38CF" w:rsidRDefault="0034272D" w:rsidP="0034272D">
      <w:pPr>
        <w:pStyle w:val="ListParagraph"/>
        <w:numPr>
          <w:ilvl w:val="2"/>
          <w:numId w:val="43"/>
        </w:numPr>
        <w:spacing w:before="240"/>
        <w:jc w:val="both"/>
        <w:rPr>
          <w:rFonts w:ascii="Times New Roman" w:hAnsi="Times New Roman"/>
          <w:i/>
        </w:rPr>
      </w:pPr>
      <w:r w:rsidRPr="00DB38CF">
        <w:rPr>
          <w:rFonts w:ascii="Times New Roman" w:hAnsi="Times New Roman"/>
          <w:i/>
        </w:rPr>
        <w:lastRenderedPageBreak/>
        <w:t>It is assumed that UL subframe timing is shifted</w:t>
      </w:r>
      <w:r w:rsidR="005C3AAB" w:rsidRPr="00DB38CF">
        <w:rPr>
          <w:rFonts w:ascii="Times New Roman" w:hAnsi="Times New Roman"/>
          <w:i/>
        </w:rPr>
        <w:t xml:space="preserve"> by the TA</w:t>
      </w:r>
      <w:r w:rsidRPr="00DB38CF">
        <w:rPr>
          <w:rFonts w:ascii="Times New Roman" w:hAnsi="Times New Roman"/>
          <w:i/>
        </w:rPr>
        <w:t xml:space="preserve"> w.r.t. DL subframe timing</w:t>
      </w:r>
    </w:p>
    <w:p w14:paraId="1A715636" w14:textId="102B8193" w:rsidR="003227A4" w:rsidRPr="00DB38CF" w:rsidRDefault="005C3AAB" w:rsidP="003227A4">
      <w:pPr>
        <w:pStyle w:val="ListParagraph"/>
        <w:numPr>
          <w:ilvl w:val="1"/>
          <w:numId w:val="43"/>
        </w:numPr>
        <w:spacing w:before="240"/>
        <w:jc w:val="both"/>
        <w:rPr>
          <w:rFonts w:ascii="Times New Roman" w:hAnsi="Times New Roman"/>
          <w:i/>
        </w:rPr>
      </w:pPr>
      <w:r w:rsidRPr="00DB38CF">
        <w:rPr>
          <w:rFonts w:ascii="Times New Roman" w:hAnsi="Times New Roman"/>
          <w:i/>
        </w:rPr>
        <w:t xml:space="preserve">It is up to the gNB </w:t>
      </w:r>
      <w:r w:rsidR="00BD507E" w:rsidRPr="00DB38CF">
        <w:rPr>
          <w:rFonts w:ascii="Times New Roman" w:hAnsi="Times New Roman"/>
          <w:i/>
        </w:rPr>
        <w:t>how/when to transmit NPDCCH considering the specified NPDCCH monitoring restrictions and TA uncertainty at the gNB</w:t>
      </w:r>
      <w:r w:rsidR="00DB38CF" w:rsidRPr="00DB38CF">
        <w:rPr>
          <w:rFonts w:ascii="Times New Roman" w:hAnsi="Times New Roman"/>
          <w:i/>
        </w:rPr>
        <w:t xml:space="preserve"> (due to aging of reported TA value)</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422FF44C" w:rsidR="00E17F6E" w:rsidRDefault="00E17F6E" w:rsidP="00C73CBB">
      <w:pPr>
        <w:jc w:val="both"/>
        <w:rPr>
          <w:sz w:val="22"/>
          <w:szCs w:val="22"/>
        </w:rPr>
      </w:pPr>
      <w:r w:rsidRPr="000B4ADF">
        <w:rPr>
          <w:sz w:val="22"/>
          <w:szCs w:val="22"/>
          <w:lang w:eastAsia="ko-KR"/>
        </w:rPr>
        <w:t>In this contribution aspects related to</w:t>
      </w:r>
      <w:r w:rsidR="00B85A0D">
        <w:rPr>
          <w:sz w:val="22"/>
          <w:szCs w:val="22"/>
          <w:lang w:eastAsia="ko-KR"/>
        </w:rPr>
        <w:t xml:space="preserve"> timing relationship</w:t>
      </w:r>
      <w:r w:rsidRPr="000B4ADF">
        <w:rPr>
          <w:sz w:val="22"/>
          <w:szCs w:val="22"/>
          <w:lang w:eastAsia="ko-KR"/>
        </w:rPr>
        <w:t xml:space="preserve">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w:t>
      </w:r>
      <w:r w:rsidR="00411A71">
        <w:rPr>
          <w:sz w:val="22"/>
          <w:szCs w:val="22"/>
        </w:rPr>
        <w:t xml:space="preserve"> </w:t>
      </w:r>
      <w:r w:rsidR="00175F6A">
        <w:rPr>
          <w:sz w:val="22"/>
          <w:szCs w:val="22"/>
        </w:rPr>
        <w:t>were</w:t>
      </w:r>
      <w:r>
        <w:rPr>
          <w:sz w:val="22"/>
          <w:szCs w:val="22"/>
        </w:rPr>
        <w:t xml:space="preserve"> made.</w:t>
      </w:r>
    </w:p>
    <w:p w14:paraId="12CA3EAC" w14:textId="77777777" w:rsidR="00C03446" w:rsidRDefault="00C03446" w:rsidP="00C03446">
      <w:pPr>
        <w:spacing w:before="240" w:after="240"/>
        <w:jc w:val="both"/>
        <w:rPr>
          <w:b/>
          <w:bCs/>
          <w:i/>
          <w:sz w:val="22"/>
          <w:szCs w:val="22"/>
        </w:rPr>
      </w:pPr>
      <w:r w:rsidRPr="00903FBE">
        <w:rPr>
          <w:b/>
          <w:bCs/>
          <w:i/>
          <w:sz w:val="22"/>
          <w:szCs w:val="22"/>
        </w:rPr>
        <w:t xml:space="preserve">Proposal </w:t>
      </w:r>
      <w:r>
        <w:rPr>
          <w:b/>
          <w:bCs/>
          <w:i/>
          <w:sz w:val="22"/>
          <w:szCs w:val="22"/>
        </w:rPr>
        <w:t>1</w:t>
      </w:r>
      <w:r w:rsidRPr="00903FBE">
        <w:rPr>
          <w:b/>
          <w:bCs/>
          <w:i/>
          <w:sz w:val="22"/>
          <w:szCs w:val="22"/>
        </w:rPr>
        <w:t xml:space="preserve">: </w:t>
      </w:r>
    </w:p>
    <w:p w14:paraId="73D311F1" w14:textId="77777777" w:rsidR="00C03446" w:rsidRPr="00D4150D" w:rsidRDefault="00C03446" w:rsidP="00C03446">
      <w:pPr>
        <w:pStyle w:val="ListParagraph"/>
        <w:numPr>
          <w:ilvl w:val="0"/>
          <w:numId w:val="43"/>
        </w:numPr>
        <w:spacing w:before="240"/>
        <w:jc w:val="both"/>
        <w:rPr>
          <w:rFonts w:ascii="Times New Roman" w:hAnsi="Times New Roman"/>
          <w:i/>
        </w:rPr>
      </w:pPr>
      <w:r w:rsidRPr="00F130DA">
        <w:rPr>
          <w:rFonts w:ascii="Times New Roman" w:hAnsi="Times New Roman"/>
          <w:i/>
        </w:rPr>
        <w:t xml:space="preserve">Support </w:t>
      </w:r>
      <w:r>
        <w:rPr>
          <w:rFonts w:ascii="Times New Roman" w:hAnsi="Times New Roman"/>
          <w:i/>
        </w:rPr>
        <w:t xml:space="preserve">reporting of </w:t>
      </w:r>
      <w:r w:rsidRPr="00F130DA">
        <w:rPr>
          <w:rFonts w:ascii="Times New Roman" w:hAnsi="Times New Roman"/>
          <w:i/>
        </w:rPr>
        <w:t>series of values with differ</w:t>
      </w:r>
      <w:r>
        <w:rPr>
          <w:rFonts w:ascii="Times New Roman" w:hAnsi="Times New Roman"/>
          <w:i/>
        </w:rPr>
        <w:t>e</w:t>
      </w:r>
      <w:r w:rsidRPr="00F130DA">
        <w:rPr>
          <w:rFonts w:ascii="Times New Roman" w:hAnsi="Times New Roman"/>
          <w:i/>
        </w:rPr>
        <w:t>ntial encoding scheme</w:t>
      </w:r>
      <w:r>
        <w:rPr>
          <w:rFonts w:ascii="Times New Roman" w:hAnsi="Times New Roman"/>
          <w:i/>
        </w:rPr>
        <w:t xml:space="preserve"> for</w:t>
      </w:r>
      <w:r w:rsidRPr="00F130DA">
        <w:rPr>
          <w:rFonts w:ascii="Times New Roman" w:hAnsi="Times New Roman"/>
          <w:i/>
        </w:rPr>
        <w:t xml:space="preserve"> UE-specific TA reporting </w:t>
      </w:r>
      <w:r>
        <w:rPr>
          <w:rFonts w:ascii="Times New Roman" w:hAnsi="Times New Roman"/>
          <w:i/>
        </w:rPr>
        <w:t xml:space="preserve">to decrease </w:t>
      </w:r>
      <w:r w:rsidRPr="00F130DA">
        <w:rPr>
          <w:rFonts w:ascii="Times New Roman" w:hAnsi="Times New Roman"/>
          <w:i/>
        </w:rPr>
        <w:t>overhead</w:t>
      </w:r>
    </w:p>
    <w:p w14:paraId="360568EF" w14:textId="77777777" w:rsidR="00C03446" w:rsidRPr="009C434B" w:rsidRDefault="00C03446" w:rsidP="00C03446">
      <w:pPr>
        <w:spacing w:before="240"/>
        <w:jc w:val="both"/>
        <w:rPr>
          <w:i/>
          <w:sz w:val="22"/>
          <w:szCs w:val="22"/>
        </w:rPr>
      </w:pPr>
      <w:r w:rsidRPr="00A422EA">
        <w:rPr>
          <w:b/>
          <w:bCs/>
          <w:i/>
          <w:sz w:val="22"/>
          <w:szCs w:val="22"/>
        </w:rPr>
        <w:t xml:space="preserve">Proposal </w:t>
      </w:r>
      <w:r>
        <w:rPr>
          <w:b/>
          <w:bCs/>
          <w:i/>
          <w:sz w:val="22"/>
          <w:szCs w:val="22"/>
        </w:rPr>
        <w:t>2</w:t>
      </w:r>
      <w:r w:rsidRPr="00A422EA">
        <w:rPr>
          <w:i/>
          <w:sz w:val="22"/>
          <w:szCs w:val="22"/>
        </w:rPr>
        <w:t xml:space="preserve">: </w:t>
      </w:r>
    </w:p>
    <w:p w14:paraId="08975BD0" w14:textId="77777777" w:rsidR="00C03446" w:rsidRPr="00851EAD" w:rsidRDefault="00C03446" w:rsidP="00C03446">
      <w:pPr>
        <w:pStyle w:val="ListParagraph"/>
        <w:numPr>
          <w:ilvl w:val="0"/>
          <w:numId w:val="43"/>
        </w:numPr>
        <w:spacing w:before="240"/>
        <w:jc w:val="both"/>
        <w:rPr>
          <w:rFonts w:ascii="Times New Roman" w:hAnsi="Times New Roman"/>
          <w:i/>
        </w:rPr>
      </w:pPr>
      <w:r w:rsidRPr="00851EAD">
        <w:rPr>
          <w:rFonts w:ascii="Times New Roman" w:hAnsi="Times New Roman"/>
          <w:i/>
        </w:rPr>
        <w:t xml:space="preserve">The same signalling design for UE-specific K_offset is used for IoT NTN and NR NTN </w:t>
      </w:r>
    </w:p>
    <w:p w14:paraId="31A9FCE0" w14:textId="77777777" w:rsidR="00C03446" w:rsidRPr="00851EAD" w:rsidRDefault="00C03446" w:rsidP="00C03446">
      <w:pPr>
        <w:pStyle w:val="ListParagraph"/>
        <w:numPr>
          <w:ilvl w:val="1"/>
          <w:numId w:val="43"/>
        </w:numPr>
        <w:spacing w:before="240"/>
        <w:jc w:val="both"/>
        <w:rPr>
          <w:rFonts w:ascii="Times New Roman" w:hAnsi="Times New Roman"/>
          <w:i/>
        </w:rPr>
      </w:pPr>
      <w:r w:rsidRPr="00851EAD">
        <w:rPr>
          <w:rFonts w:ascii="Times New Roman" w:hAnsi="Times New Roman"/>
          <w:i/>
        </w:rPr>
        <w:t>UE-specific K_offset is indicated via MAC CE</w:t>
      </w:r>
    </w:p>
    <w:p w14:paraId="6156EDB2" w14:textId="77777777" w:rsidR="00C03446" w:rsidRDefault="00C03446" w:rsidP="00C03446">
      <w:pPr>
        <w:pStyle w:val="ListParagraph"/>
        <w:numPr>
          <w:ilvl w:val="1"/>
          <w:numId w:val="43"/>
        </w:numPr>
        <w:spacing w:before="240"/>
        <w:jc w:val="both"/>
        <w:rPr>
          <w:rFonts w:ascii="Times New Roman" w:hAnsi="Times New Roman"/>
          <w:i/>
        </w:rPr>
      </w:pPr>
      <w:r w:rsidRPr="00851EAD">
        <w:rPr>
          <w:rFonts w:ascii="Times New Roman" w:hAnsi="Times New Roman"/>
          <w:i/>
        </w:rPr>
        <w:t>Indication of difference between cell-specific K_offset and UE-specific K_offset can be considered</w:t>
      </w:r>
    </w:p>
    <w:p w14:paraId="5728178A" w14:textId="77777777" w:rsidR="00C03446" w:rsidRPr="00DB38CF" w:rsidRDefault="00C03446" w:rsidP="00C03446">
      <w:pPr>
        <w:spacing w:before="240"/>
        <w:jc w:val="both"/>
        <w:rPr>
          <w:i/>
          <w:sz w:val="22"/>
          <w:szCs w:val="22"/>
        </w:rPr>
      </w:pPr>
      <w:r w:rsidRPr="00DB38CF">
        <w:rPr>
          <w:b/>
          <w:bCs/>
          <w:i/>
          <w:sz w:val="22"/>
          <w:szCs w:val="22"/>
        </w:rPr>
        <w:t>Proposal 3</w:t>
      </w:r>
      <w:r w:rsidRPr="00DB38CF">
        <w:rPr>
          <w:i/>
          <w:sz w:val="22"/>
          <w:szCs w:val="22"/>
        </w:rPr>
        <w:t xml:space="preserve">: </w:t>
      </w:r>
    </w:p>
    <w:p w14:paraId="381BDEA0" w14:textId="77777777" w:rsidR="00C03446" w:rsidRPr="00DB38CF" w:rsidRDefault="00C03446" w:rsidP="00C03446">
      <w:pPr>
        <w:pStyle w:val="ListParagraph"/>
        <w:numPr>
          <w:ilvl w:val="0"/>
          <w:numId w:val="43"/>
        </w:numPr>
        <w:spacing w:before="240"/>
        <w:jc w:val="both"/>
        <w:rPr>
          <w:rFonts w:ascii="Times New Roman" w:hAnsi="Times New Roman"/>
          <w:i/>
        </w:rPr>
      </w:pPr>
      <w:r w:rsidRPr="00DB38CF">
        <w:rPr>
          <w:rFonts w:ascii="Times New Roman" w:hAnsi="Times New Roman"/>
          <w:i/>
        </w:rPr>
        <w:t>For the NPDCCH monitoring restrictions cases agreed at the last RAN1 meeting</w:t>
      </w:r>
    </w:p>
    <w:p w14:paraId="203883A2" w14:textId="77777777" w:rsidR="00C03446" w:rsidRPr="00DB38CF" w:rsidRDefault="00C03446" w:rsidP="00C03446">
      <w:pPr>
        <w:pStyle w:val="ListParagraph"/>
        <w:numPr>
          <w:ilvl w:val="1"/>
          <w:numId w:val="43"/>
        </w:numPr>
        <w:spacing w:before="240"/>
        <w:jc w:val="both"/>
        <w:rPr>
          <w:rFonts w:ascii="Times New Roman" w:hAnsi="Times New Roman"/>
          <w:i/>
        </w:rPr>
      </w:pPr>
      <w:r w:rsidRPr="00DB38CF">
        <w:rPr>
          <w:rFonts w:ascii="Times New Roman" w:hAnsi="Times New Roman"/>
          <w:i/>
        </w:rPr>
        <w:t xml:space="preserve">Subframes for DL reception </w:t>
      </w:r>
      <w:r>
        <w:rPr>
          <w:rFonts w:ascii="Times New Roman" w:hAnsi="Times New Roman"/>
          <w:i/>
        </w:rPr>
        <w:t>are specified as</w:t>
      </w:r>
      <w:r w:rsidRPr="00DB38CF">
        <w:rPr>
          <w:rFonts w:ascii="Times New Roman" w:hAnsi="Times New Roman"/>
          <w:i/>
        </w:rPr>
        <w:t xml:space="preserve"> DL subframe</w:t>
      </w:r>
    </w:p>
    <w:p w14:paraId="331E99B8" w14:textId="77777777" w:rsidR="00C03446" w:rsidRPr="00DB38CF" w:rsidRDefault="00C03446" w:rsidP="00C03446">
      <w:pPr>
        <w:pStyle w:val="ListParagraph"/>
        <w:numPr>
          <w:ilvl w:val="1"/>
          <w:numId w:val="43"/>
        </w:numPr>
        <w:spacing w:before="240"/>
        <w:jc w:val="both"/>
        <w:rPr>
          <w:rFonts w:ascii="Times New Roman" w:hAnsi="Times New Roman"/>
          <w:i/>
        </w:rPr>
      </w:pPr>
      <w:r w:rsidRPr="00DB38CF">
        <w:rPr>
          <w:rFonts w:ascii="Times New Roman" w:hAnsi="Times New Roman"/>
          <w:i/>
        </w:rPr>
        <w:t xml:space="preserve">Subframes for UL transmission </w:t>
      </w:r>
      <w:r>
        <w:rPr>
          <w:rFonts w:ascii="Times New Roman" w:hAnsi="Times New Roman"/>
          <w:i/>
        </w:rPr>
        <w:t>are specified as</w:t>
      </w:r>
      <w:r w:rsidRPr="00DB38CF">
        <w:rPr>
          <w:rFonts w:ascii="Times New Roman" w:hAnsi="Times New Roman"/>
          <w:i/>
        </w:rPr>
        <w:t xml:space="preserve"> UL subframes</w:t>
      </w:r>
    </w:p>
    <w:p w14:paraId="37FC06B4" w14:textId="77777777" w:rsidR="00C03446" w:rsidRPr="00DB38CF" w:rsidRDefault="00C03446" w:rsidP="00C03446">
      <w:pPr>
        <w:pStyle w:val="ListParagraph"/>
        <w:numPr>
          <w:ilvl w:val="2"/>
          <w:numId w:val="43"/>
        </w:numPr>
        <w:spacing w:before="240"/>
        <w:jc w:val="both"/>
        <w:rPr>
          <w:rFonts w:ascii="Times New Roman" w:hAnsi="Times New Roman"/>
          <w:i/>
        </w:rPr>
      </w:pPr>
      <w:r w:rsidRPr="00DB38CF">
        <w:rPr>
          <w:rFonts w:ascii="Times New Roman" w:hAnsi="Times New Roman"/>
          <w:i/>
        </w:rPr>
        <w:t>It is assumed that UL subframe timing is shifted by the TA w.r.t. DL subframe timing</w:t>
      </w:r>
    </w:p>
    <w:p w14:paraId="44BBF1DC" w14:textId="4E8B2B86" w:rsidR="00AC6F52" w:rsidRPr="00C03446" w:rsidRDefault="00C03446" w:rsidP="00A66E75">
      <w:pPr>
        <w:pStyle w:val="ListParagraph"/>
        <w:numPr>
          <w:ilvl w:val="1"/>
          <w:numId w:val="43"/>
        </w:numPr>
        <w:spacing w:before="240"/>
        <w:jc w:val="both"/>
        <w:rPr>
          <w:rFonts w:ascii="Times New Roman" w:hAnsi="Times New Roman"/>
          <w:i/>
        </w:rPr>
      </w:pPr>
      <w:r w:rsidRPr="00DB38CF">
        <w:rPr>
          <w:rFonts w:ascii="Times New Roman" w:hAnsi="Times New Roman"/>
          <w:i/>
        </w:rPr>
        <w:t>It is up to the gNB how/when to transmit NPDCCH considering the specified NPDCCH monitoring restrictions and TA uncertainty at the gNB (due to aging of reported TA value)</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5E6EBAD1" w14:textId="77777777" w:rsidR="002848B9" w:rsidRDefault="002848B9" w:rsidP="002848B9">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7EF180E2" w14:textId="09A0F754" w:rsidR="004A1791" w:rsidRDefault="002848B9" w:rsidP="00130F41">
      <w:pPr>
        <w:numPr>
          <w:ilvl w:val="0"/>
          <w:numId w:val="2"/>
        </w:numPr>
        <w:rPr>
          <w:sz w:val="22"/>
          <w:lang w:eastAsia="zh-CN"/>
        </w:rPr>
      </w:pPr>
      <w:r w:rsidRPr="004A0FB0">
        <w:rPr>
          <w:sz w:val="22"/>
          <w:lang w:eastAsia="zh-CN"/>
        </w:rPr>
        <w:t>RP-211601</w:t>
      </w:r>
      <w:r>
        <w:rPr>
          <w:sz w:val="22"/>
          <w:lang w:eastAsia="zh-CN"/>
        </w:rPr>
        <w:t xml:space="preserve"> </w:t>
      </w:r>
      <w:r w:rsidRPr="004A0FB0">
        <w:rPr>
          <w:sz w:val="22"/>
          <w:lang w:eastAsia="zh-CN"/>
        </w:rPr>
        <w:t>WID on NB-IoT/eMTC support for NTN</w:t>
      </w:r>
    </w:p>
    <w:p w14:paraId="7F3D0A15" w14:textId="6B024146" w:rsidR="00251F2F" w:rsidRPr="00130F41" w:rsidRDefault="00AA2FFC" w:rsidP="00130F41">
      <w:pPr>
        <w:numPr>
          <w:ilvl w:val="0"/>
          <w:numId w:val="2"/>
        </w:numPr>
        <w:rPr>
          <w:sz w:val="22"/>
          <w:lang w:eastAsia="zh-CN"/>
        </w:rPr>
      </w:pPr>
      <w:r w:rsidRPr="00AA2FFC">
        <w:rPr>
          <w:sz w:val="22"/>
          <w:lang w:eastAsia="zh-CN"/>
        </w:rPr>
        <w:t>R1-2109609</w:t>
      </w:r>
      <w:r>
        <w:rPr>
          <w:sz w:val="22"/>
          <w:lang w:eastAsia="zh-CN"/>
        </w:rPr>
        <w:t xml:space="preserve">, </w:t>
      </w:r>
      <w:r w:rsidR="002A3C8A" w:rsidRPr="002A3C8A">
        <w:rPr>
          <w:sz w:val="22"/>
          <w:lang w:eastAsia="zh-CN"/>
        </w:rPr>
        <w:t>On timing relationship enhancements for NTN</w:t>
      </w:r>
      <w:r w:rsidR="002A3C8A">
        <w:rPr>
          <w:sz w:val="22"/>
          <w:lang w:eastAsia="zh-CN"/>
        </w:rPr>
        <w:t>; Intel Corporation</w:t>
      </w:r>
    </w:p>
    <w:sectPr w:rsidR="00251F2F" w:rsidRPr="00130F41"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A1748" w14:textId="77777777" w:rsidR="0071154F" w:rsidRDefault="0071154F">
      <w:r>
        <w:separator/>
      </w:r>
    </w:p>
  </w:endnote>
  <w:endnote w:type="continuationSeparator" w:id="0">
    <w:p w14:paraId="4C2E3FC4" w14:textId="77777777" w:rsidR="0071154F" w:rsidRDefault="0071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ADC73" w14:textId="77777777" w:rsidR="0071154F" w:rsidRDefault="0071154F">
      <w:r>
        <w:separator/>
      </w:r>
    </w:p>
  </w:footnote>
  <w:footnote w:type="continuationSeparator" w:id="0">
    <w:p w14:paraId="090D5865" w14:textId="77777777" w:rsidR="0071154F" w:rsidRDefault="0071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BF33F2"/>
    <w:multiLevelType w:val="hybridMultilevel"/>
    <w:tmpl w:val="DC009150"/>
    <w:lvl w:ilvl="0" w:tplc="890C01F2">
      <w:start w:val="1"/>
      <w:numFmt w:val="decimal"/>
      <w:lvlText w:val="%1)"/>
      <w:lvlJc w:val="left"/>
      <w:pPr>
        <w:ind w:left="720" w:hanging="360"/>
      </w:pPr>
      <w:rPr>
        <w:rFonts w:ascii="Calibri" w:hAnsi="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1"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87D2DDC"/>
    <w:multiLevelType w:val="hybridMultilevel"/>
    <w:tmpl w:val="274E3F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3438CE"/>
    <w:multiLevelType w:val="multilevel"/>
    <w:tmpl w:val="4DF63B30"/>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9B5C01"/>
    <w:multiLevelType w:val="hybridMultilevel"/>
    <w:tmpl w:val="1F626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EA2122"/>
    <w:multiLevelType w:val="hybridMultilevel"/>
    <w:tmpl w:val="081A2B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8363D94"/>
    <w:multiLevelType w:val="hybridMultilevel"/>
    <w:tmpl w:val="D2BABF98"/>
    <w:lvl w:ilvl="0" w:tplc="04090001">
      <w:start w:val="1"/>
      <w:numFmt w:val="bullet"/>
      <w:lvlText w:val=""/>
      <w:lvlJc w:val="left"/>
      <w:pPr>
        <w:ind w:left="720" w:hanging="360"/>
      </w:pPr>
      <w:rPr>
        <w:rFonts w:ascii="Symbol" w:hAnsi="Symbol" w:hint="default"/>
      </w:rPr>
    </w:lvl>
    <w:lvl w:ilvl="1" w:tplc="C81A3980">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44"/>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5"/>
  </w:num>
  <w:num w:numId="7">
    <w:abstractNumId w:val="3"/>
  </w:num>
  <w:num w:numId="8">
    <w:abstractNumId w:val="38"/>
  </w:num>
  <w:num w:numId="9">
    <w:abstractNumId w:val="1"/>
  </w:num>
  <w:num w:numId="10">
    <w:abstractNumId w:val="2"/>
  </w:num>
  <w:num w:numId="11">
    <w:abstractNumId w:val="4"/>
  </w:num>
  <w:num w:numId="12">
    <w:abstractNumId w:val="7"/>
  </w:num>
  <w:num w:numId="13">
    <w:abstractNumId w:val="33"/>
  </w:num>
  <w:num w:numId="14">
    <w:abstractNumId w:val="43"/>
  </w:num>
  <w:num w:numId="15">
    <w:abstractNumId w:val="5"/>
  </w:num>
  <w:num w:numId="16">
    <w:abstractNumId w:val="19"/>
  </w:num>
  <w:num w:numId="17">
    <w:abstractNumId w:val="31"/>
  </w:num>
  <w:num w:numId="18">
    <w:abstractNumId w:val="23"/>
  </w:num>
  <w:num w:numId="19">
    <w:abstractNumId w:val="22"/>
  </w:num>
  <w:num w:numId="20">
    <w:abstractNumId w:val="34"/>
  </w:num>
  <w:num w:numId="21">
    <w:abstractNumId w:val="42"/>
  </w:num>
  <w:num w:numId="22">
    <w:abstractNumId w:val="8"/>
  </w:num>
  <w:num w:numId="23">
    <w:abstractNumId w:val="40"/>
  </w:num>
  <w:num w:numId="24">
    <w:abstractNumId w:val="27"/>
  </w:num>
  <w:num w:numId="25">
    <w:abstractNumId w:val="6"/>
  </w:num>
  <w:num w:numId="26">
    <w:abstractNumId w:val="17"/>
  </w:num>
  <w:num w:numId="27">
    <w:abstractNumId w:val="15"/>
  </w:num>
  <w:num w:numId="28">
    <w:abstractNumId w:val="20"/>
  </w:num>
  <w:num w:numId="29">
    <w:abstractNumId w:val="28"/>
  </w:num>
  <w:num w:numId="30">
    <w:abstractNumId w:val="21"/>
  </w:num>
  <w:num w:numId="31">
    <w:abstractNumId w:val="29"/>
  </w:num>
  <w:num w:numId="32">
    <w:abstractNumId w:val="16"/>
  </w:num>
  <w:num w:numId="33">
    <w:abstractNumId w:val="9"/>
  </w:num>
  <w:num w:numId="34">
    <w:abstractNumId w:val="10"/>
  </w:num>
  <w:num w:numId="35">
    <w:abstractNumId w:val="37"/>
  </w:num>
  <w:num w:numId="36">
    <w:abstractNumId w:val="32"/>
  </w:num>
  <w:num w:numId="37">
    <w:abstractNumId w:val="36"/>
  </w:num>
  <w:num w:numId="38">
    <w:abstractNumId w:val="26"/>
  </w:num>
  <w:num w:numId="39">
    <w:abstractNumId w:val="24"/>
  </w:num>
  <w:num w:numId="40">
    <w:abstractNumId w:val="39"/>
  </w:num>
  <w:num w:numId="41">
    <w:abstractNumId w:val="30"/>
  </w:num>
  <w:num w:numId="42">
    <w:abstractNumId w:val="11"/>
  </w:num>
  <w:num w:numId="43">
    <w:abstractNumId w:val="41"/>
  </w:num>
  <w:num w:numId="4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486"/>
    <w:rsid w:val="00031675"/>
    <w:rsid w:val="00031734"/>
    <w:rsid w:val="00031EDD"/>
    <w:rsid w:val="00032043"/>
    <w:rsid w:val="000321DC"/>
    <w:rsid w:val="00032A64"/>
    <w:rsid w:val="00032AF7"/>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29"/>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8D7"/>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B87"/>
    <w:rsid w:val="00082EF5"/>
    <w:rsid w:val="000831C1"/>
    <w:rsid w:val="00083322"/>
    <w:rsid w:val="00083391"/>
    <w:rsid w:val="00083788"/>
    <w:rsid w:val="00083838"/>
    <w:rsid w:val="000839CE"/>
    <w:rsid w:val="00083CD2"/>
    <w:rsid w:val="00083EBD"/>
    <w:rsid w:val="00084255"/>
    <w:rsid w:val="000842D5"/>
    <w:rsid w:val="000847E4"/>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4E8"/>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6C9"/>
    <w:rsid w:val="000A47AC"/>
    <w:rsid w:val="000A49DE"/>
    <w:rsid w:val="000A4B74"/>
    <w:rsid w:val="000A4FF3"/>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CCE"/>
    <w:rsid w:val="000B0FF3"/>
    <w:rsid w:val="000B10AB"/>
    <w:rsid w:val="000B17A1"/>
    <w:rsid w:val="000B193E"/>
    <w:rsid w:val="000B1B47"/>
    <w:rsid w:val="000B1CD3"/>
    <w:rsid w:val="000B256B"/>
    <w:rsid w:val="000B26B1"/>
    <w:rsid w:val="000B2AAA"/>
    <w:rsid w:val="000B2B42"/>
    <w:rsid w:val="000B2B61"/>
    <w:rsid w:val="000B32D4"/>
    <w:rsid w:val="000B3587"/>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03"/>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3D9"/>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17B"/>
    <w:rsid w:val="001134DA"/>
    <w:rsid w:val="0011372B"/>
    <w:rsid w:val="001138BF"/>
    <w:rsid w:val="00113D8F"/>
    <w:rsid w:val="00114012"/>
    <w:rsid w:val="0011402C"/>
    <w:rsid w:val="001140FA"/>
    <w:rsid w:val="001141CF"/>
    <w:rsid w:val="00114379"/>
    <w:rsid w:val="001146A3"/>
    <w:rsid w:val="001146C6"/>
    <w:rsid w:val="001147B8"/>
    <w:rsid w:val="00114949"/>
    <w:rsid w:val="00114A39"/>
    <w:rsid w:val="00114CFE"/>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0F41"/>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2E4"/>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6B7"/>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0B1"/>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1C3"/>
    <w:rsid w:val="00161761"/>
    <w:rsid w:val="001617C8"/>
    <w:rsid w:val="00161849"/>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0E49"/>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5F6A"/>
    <w:rsid w:val="00176414"/>
    <w:rsid w:val="001764FD"/>
    <w:rsid w:val="0017655E"/>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B7B"/>
    <w:rsid w:val="00180E60"/>
    <w:rsid w:val="00181057"/>
    <w:rsid w:val="001817BA"/>
    <w:rsid w:val="001818A9"/>
    <w:rsid w:val="00181B3A"/>
    <w:rsid w:val="001820B2"/>
    <w:rsid w:val="001821E9"/>
    <w:rsid w:val="001824D2"/>
    <w:rsid w:val="00182608"/>
    <w:rsid w:val="00182939"/>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89D"/>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AE7"/>
    <w:rsid w:val="00191C7A"/>
    <w:rsid w:val="00191EBF"/>
    <w:rsid w:val="001925E5"/>
    <w:rsid w:val="00192D98"/>
    <w:rsid w:val="00193987"/>
    <w:rsid w:val="00193AEA"/>
    <w:rsid w:val="00194465"/>
    <w:rsid w:val="00194A1E"/>
    <w:rsid w:val="00194A69"/>
    <w:rsid w:val="00194FBD"/>
    <w:rsid w:val="00194FCD"/>
    <w:rsid w:val="00195362"/>
    <w:rsid w:val="001956BE"/>
    <w:rsid w:val="0019573B"/>
    <w:rsid w:val="001958C2"/>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858"/>
    <w:rsid w:val="001B0966"/>
    <w:rsid w:val="001B0F1F"/>
    <w:rsid w:val="001B1042"/>
    <w:rsid w:val="001B117F"/>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6D4"/>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D7A"/>
    <w:rsid w:val="001D4F24"/>
    <w:rsid w:val="001D506F"/>
    <w:rsid w:val="001D562F"/>
    <w:rsid w:val="001D57BC"/>
    <w:rsid w:val="001D5990"/>
    <w:rsid w:val="001D5E31"/>
    <w:rsid w:val="001D60A8"/>
    <w:rsid w:val="001D6294"/>
    <w:rsid w:val="001D6309"/>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4CE"/>
    <w:rsid w:val="002055CB"/>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17DB3"/>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2F"/>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5B"/>
    <w:rsid w:val="002572F1"/>
    <w:rsid w:val="00257467"/>
    <w:rsid w:val="00257500"/>
    <w:rsid w:val="002575C1"/>
    <w:rsid w:val="00257A62"/>
    <w:rsid w:val="00260156"/>
    <w:rsid w:val="0026075E"/>
    <w:rsid w:val="002607FF"/>
    <w:rsid w:val="00260FAD"/>
    <w:rsid w:val="002612A1"/>
    <w:rsid w:val="00261525"/>
    <w:rsid w:val="002615CD"/>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4AB"/>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3F33"/>
    <w:rsid w:val="002841EF"/>
    <w:rsid w:val="002848B9"/>
    <w:rsid w:val="0028492A"/>
    <w:rsid w:val="00284BFB"/>
    <w:rsid w:val="00284E7F"/>
    <w:rsid w:val="0028527A"/>
    <w:rsid w:val="00285520"/>
    <w:rsid w:val="002857B6"/>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8A"/>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683"/>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323"/>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0A2A"/>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7A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BB4"/>
    <w:rsid w:val="00340C02"/>
    <w:rsid w:val="00340E16"/>
    <w:rsid w:val="00340E58"/>
    <w:rsid w:val="00341087"/>
    <w:rsid w:val="0034119A"/>
    <w:rsid w:val="00341328"/>
    <w:rsid w:val="003415A8"/>
    <w:rsid w:val="00341CDF"/>
    <w:rsid w:val="0034243C"/>
    <w:rsid w:val="0034246D"/>
    <w:rsid w:val="003426DE"/>
    <w:rsid w:val="0034272D"/>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7782F"/>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D3B"/>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4C8"/>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B30"/>
    <w:rsid w:val="00406F4B"/>
    <w:rsid w:val="00406FBD"/>
    <w:rsid w:val="004071F4"/>
    <w:rsid w:val="004073B0"/>
    <w:rsid w:val="00407612"/>
    <w:rsid w:val="00407A66"/>
    <w:rsid w:val="00407C9E"/>
    <w:rsid w:val="00410204"/>
    <w:rsid w:val="0041029D"/>
    <w:rsid w:val="00410436"/>
    <w:rsid w:val="00410B74"/>
    <w:rsid w:val="00410CC4"/>
    <w:rsid w:val="00411230"/>
    <w:rsid w:val="004117B9"/>
    <w:rsid w:val="004118C9"/>
    <w:rsid w:val="0041195D"/>
    <w:rsid w:val="00411A71"/>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2C7"/>
    <w:rsid w:val="00423326"/>
    <w:rsid w:val="00423921"/>
    <w:rsid w:val="00423A73"/>
    <w:rsid w:val="00423B74"/>
    <w:rsid w:val="0042425E"/>
    <w:rsid w:val="00424649"/>
    <w:rsid w:val="00424925"/>
    <w:rsid w:val="00424FF9"/>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170"/>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7BF"/>
    <w:rsid w:val="004628B2"/>
    <w:rsid w:val="004628D4"/>
    <w:rsid w:val="004628F8"/>
    <w:rsid w:val="00462A9C"/>
    <w:rsid w:val="00462AB7"/>
    <w:rsid w:val="00462B09"/>
    <w:rsid w:val="00462C32"/>
    <w:rsid w:val="00462FC4"/>
    <w:rsid w:val="00463448"/>
    <w:rsid w:val="004635D9"/>
    <w:rsid w:val="00463E7C"/>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7EF"/>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57"/>
    <w:rsid w:val="004775ED"/>
    <w:rsid w:val="004777C7"/>
    <w:rsid w:val="00477EF6"/>
    <w:rsid w:val="0048020E"/>
    <w:rsid w:val="004802F4"/>
    <w:rsid w:val="004803A9"/>
    <w:rsid w:val="0048044C"/>
    <w:rsid w:val="004807D5"/>
    <w:rsid w:val="0048082F"/>
    <w:rsid w:val="004808B5"/>
    <w:rsid w:val="004808C6"/>
    <w:rsid w:val="00480B03"/>
    <w:rsid w:val="004810EC"/>
    <w:rsid w:val="0048118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9FE"/>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77F"/>
    <w:rsid w:val="0049792C"/>
    <w:rsid w:val="004A0003"/>
    <w:rsid w:val="004A01E1"/>
    <w:rsid w:val="004A06D4"/>
    <w:rsid w:val="004A0814"/>
    <w:rsid w:val="004A0D1B"/>
    <w:rsid w:val="004A0E00"/>
    <w:rsid w:val="004A15F7"/>
    <w:rsid w:val="004A1600"/>
    <w:rsid w:val="004A1791"/>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C4C"/>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69"/>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CAA"/>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0C2"/>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C3A"/>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2E"/>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62"/>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A0"/>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45"/>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89D"/>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2CD"/>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B72"/>
    <w:rsid w:val="00526C8A"/>
    <w:rsid w:val="00526E75"/>
    <w:rsid w:val="005273CB"/>
    <w:rsid w:val="005273E8"/>
    <w:rsid w:val="00527489"/>
    <w:rsid w:val="0053012B"/>
    <w:rsid w:val="00530467"/>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39E3"/>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7CA"/>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47F"/>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4EFC"/>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4D6"/>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0F4E"/>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649"/>
    <w:rsid w:val="005B6C73"/>
    <w:rsid w:val="005B6FAE"/>
    <w:rsid w:val="005B703E"/>
    <w:rsid w:val="005B70E8"/>
    <w:rsid w:val="005B7824"/>
    <w:rsid w:val="005B7827"/>
    <w:rsid w:val="005B7920"/>
    <w:rsid w:val="005B7BC8"/>
    <w:rsid w:val="005C01A6"/>
    <w:rsid w:val="005C048A"/>
    <w:rsid w:val="005C0625"/>
    <w:rsid w:val="005C0904"/>
    <w:rsid w:val="005C09BF"/>
    <w:rsid w:val="005C09D8"/>
    <w:rsid w:val="005C0D61"/>
    <w:rsid w:val="005C0DDE"/>
    <w:rsid w:val="005C11DA"/>
    <w:rsid w:val="005C1225"/>
    <w:rsid w:val="005C132F"/>
    <w:rsid w:val="005C1752"/>
    <w:rsid w:val="005C1894"/>
    <w:rsid w:val="005C1942"/>
    <w:rsid w:val="005C20CD"/>
    <w:rsid w:val="005C2144"/>
    <w:rsid w:val="005C2641"/>
    <w:rsid w:val="005C3016"/>
    <w:rsid w:val="005C376D"/>
    <w:rsid w:val="005C3929"/>
    <w:rsid w:val="005C392F"/>
    <w:rsid w:val="005C3A65"/>
    <w:rsid w:val="005C3AAB"/>
    <w:rsid w:val="005C3CDF"/>
    <w:rsid w:val="005C4ADD"/>
    <w:rsid w:val="005C4B4D"/>
    <w:rsid w:val="005C4DE3"/>
    <w:rsid w:val="005C5379"/>
    <w:rsid w:val="005C5455"/>
    <w:rsid w:val="005C56B4"/>
    <w:rsid w:val="005C5849"/>
    <w:rsid w:val="005C63F0"/>
    <w:rsid w:val="005C64CC"/>
    <w:rsid w:val="005C7340"/>
    <w:rsid w:val="005C737D"/>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2E9"/>
    <w:rsid w:val="005D5438"/>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ADB"/>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A93"/>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E64"/>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8A4"/>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CF5"/>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7CF"/>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47E98"/>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EDE"/>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27"/>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AB7"/>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169"/>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49"/>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4D4"/>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DA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361"/>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A0"/>
    <w:rsid w:val="007035BC"/>
    <w:rsid w:val="007035F6"/>
    <w:rsid w:val="007036E5"/>
    <w:rsid w:val="007038D5"/>
    <w:rsid w:val="00703920"/>
    <w:rsid w:val="00703E01"/>
    <w:rsid w:val="0070423D"/>
    <w:rsid w:val="00704439"/>
    <w:rsid w:val="00704587"/>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54F"/>
    <w:rsid w:val="0071159F"/>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A65"/>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CE"/>
    <w:rsid w:val="007446E3"/>
    <w:rsid w:val="007447A8"/>
    <w:rsid w:val="00744CE0"/>
    <w:rsid w:val="00744E3E"/>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9F8"/>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E9A"/>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A02"/>
    <w:rsid w:val="00781B9A"/>
    <w:rsid w:val="00781DAD"/>
    <w:rsid w:val="0078224B"/>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5778"/>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95F"/>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7EE"/>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10A"/>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27"/>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14"/>
    <w:rsid w:val="00840D46"/>
    <w:rsid w:val="008412EA"/>
    <w:rsid w:val="00841573"/>
    <w:rsid w:val="008419A1"/>
    <w:rsid w:val="00841AA6"/>
    <w:rsid w:val="00841D4B"/>
    <w:rsid w:val="00841EB3"/>
    <w:rsid w:val="00842039"/>
    <w:rsid w:val="00842061"/>
    <w:rsid w:val="0084239C"/>
    <w:rsid w:val="008429F2"/>
    <w:rsid w:val="00842DB7"/>
    <w:rsid w:val="0084305C"/>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1EAD"/>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47DE"/>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0E8B"/>
    <w:rsid w:val="008A111D"/>
    <w:rsid w:val="008A157B"/>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83E"/>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AF4"/>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3FBE"/>
    <w:rsid w:val="0090411E"/>
    <w:rsid w:val="009045C7"/>
    <w:rsid w:val="0090480E"/>
    <w:rsid w:val="00904A52"/>
    <w:rsid w:val="00904A62"/>
    <w:rsid w:val="00904B6D"/>
    <w:rsid w:val="00904E1D"/>
    <w:rsid w:val="009054E7"/>
    <w:rsid w:val="00905A06"/>
    <w:rsid w:val="00905E2D"/>
    <w:rsid w:val="0090605F"/>
    <w:rsid w:val="00906100"/>
    <w:rsid w:val="00906769"/>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189"/>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693A"/>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BF8"/>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2A5"/>
    <w:rsid w:val="0093135E"/>
    <w:rsid w:val="009316FD"/>
    <w:rsid w:val="0093195D"/>
    <w:rsid w:val="00931C0F"/>
    <w:rsid w:val="00931DA8"/>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01"/>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2C6"/>
    <w:rsid w:val="00955362"/>
    <w:rsid w:val="009553A5"/>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D1D"/>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37A"/>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4F4B"/>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C52"/>
    <w:rsid w:val="009C3D88"/>
    <w:rsid w:val="009C3ED9"/>
    <w:rsid w:val="009C3EEC"/>
    <w:rsid w:val="009C4074"/>
    <w:rsid w:val="009C434B"/>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989"/>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D50"/>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B70"/>
    <w:rsid w:val="00A00F35"/>
    <w:rsid w:val="00A01006"/>
    <w:rsid w:val="00A011C6"/>
    <w:rsid w:val="00A013CD"/>
    <w:rsid w:val="00A01444"/>
    <w:rsid w:val="00A019D1"/>
    <w:rsid w:val="00A02113"/>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BBE"/>
    <w:rsid w:val="00A10CB4"/>
    <w:rsid w:val="00A10F59"/>
    <w:rsid w:val="00A1107F"/>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0C0"/>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2EA"/>
    <w:rsid w:val="00A42659"/>
    <w:rsid w:val="00A426A5"/>
    <w:rsid w:val="00A42721"/>
    <w:rsid w:val="00A42897"/>
    <w:rsid w:val="00A429DE"/>
    <w:rsid w:val="00A42A2F"/>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1E"/>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E75"/>
    <w:rsid w:val="00A66F21"/>
    <w:rsid w:val="00A67668"/>
    <w:rsid w:val="00A676FC"/>
    <w:rsid w:val="00A677C1"/>
    <w:rsid w:val="00A6799D"/>
    <w:rsid w:val="00A67A8E"/>
    <w:rsid w:val="00A67AC6"/>
    <w:rsid w:val="00A67EE0"/>
    <w:rsid w:val="00A702AA"/>
    <w:rsid w:val="00A70709"/>
    <w:rsid w:val="00A70A35"/>
    <w:rsid w:val="00A7108A"/>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E4E"/>
    <w:rsid w:val="00A74F6C"/>
    <w:rsid w:val="00A75204"/>
    <w:rsid w:val="00A75212"/>
    <w:rsid w:val="00A7538B"/>
    <w:rsid w:val="00A75586"/>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AEB"/>
    <w:rsid w:val="00A81F4B"/>
    <w:rsid w:val="00A82030"/>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BF"/>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C0D"/>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2FFC"/>
    <w:rsid w:val="00AA30A2"/>
    <w:rsid w:val="00AA321B"/>
    <w:rsid w:val="00AA3326"/>
    <w:rsid w:val="00AA3354"/>
    <w:rsid w:val="00AA3421"/>
    <w:rsid w:val="00AA34E4"/>
    <w:rsid w:val="00AA3581"/>
    <w:rsid w:val="00AA37E0"/>
    <w:rsid w:val="00AA3927"/>
    <w:rsid w:val="00AA3AFB"/>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3C3"/>
    <w:rsid w:val="00AA69EF"/>
    <w:rsid w:val="00AA6A93"/>
    <w:rsid w:val="00AA6B64"/>
    <w:rsid w:val="00AA6F9A"/>
    <w:rsid w:val="00AA7C4F"/>
    <w:rsid w:val="00AB001C"/>
    <w:rsid w:val="00AB003A"/>
    <w:rsid w:val="00AB0219"/>
    <w:rsid w:val="00AB02C8"/>
    <w:rsid w:val="00AB03CE"/>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04"/>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878"/>
    <w:rsid w:val="00AC1191"/>
    <w:rsid w:val="00AC1281"/>
    <w:rsid w:val="00AC1500"/>
    <w:rsid w:val="00AC1569"/>
    <w:rsid w:val="00AC165D"/>
    <w:rsid w:val="00AC1B5C"/>
    <w:rsid w:val="00AC1C07"/>
    <w:rsid w:val="00AC2D4E"/>
    <w:rsid w:val="00AC2DA4"/>
    <w:rsid w:val="00AC2EBC"/>
    <w:rsid w:val="00AC3084"/>
    <w:rsid w:val="00AC33F0"/>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6F52"/>
    <w:rsid w:val="00AC7AD3"/>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4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19A"/>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594"/>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A"/>
    <w:rsid w:val="00B8321E"/>
    <w:rsid w:val="00B8340C"/>
    <w:rsid w:val="00B83AC3"/>
    <w:rsid w:val="00B83D8E"/>
    <w:rsid w:val="00B83DF6"/>
    <w:rsid w:val="00B8408E"/>
    <w:rsid w:val="00B847B6"/>
    <w:rsid w:val="00B84920"/>
    <w:rsid w:val="00B84BE8"/>
    <w:rsid w:val="00B8555A"/>
    <w:rsid w:val="00B85A0D"/>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5F8"/>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2DCD"/>
    <w:rsid w:val="00BB2E5C"/>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36"/>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07E"/>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90D"/>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27D"/>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BBD"/>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446"/>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534"/>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6BC7"/>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A7"/>
    <w:rsid w:val="00C339DE"/>
    <w:rsid w:val="00C33AA7"/>
    <w:rsid w:val="00C33DCE"/>
    <w:rsid w:val="00C34308"/>
    <w:rsid w:val="00C3463A"/>
    <w:rsid w:val="00C346AB"/>
    <w:rsid w:val="00C346BB"/>
    <w:rsid w:val="00C346C1"/>
    <w:rsid w:val="00C3488A"/>
    <w:rsid w:val="00C34C05"/>
    <w:rsid w:val="00C34DD9"/>
    <w:rsid w:val="00C34F1B"/>
    <w:rsid w:val="00C3538C"/>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5E9"/>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556"/>
    <w:rsid w:val="00C776D9"/>
    <w:rsid w:val="00C7799E"/>
    <w:rsid w:val="00C77DF7"/>
    <w:rsid w:val="00C800A8"/>
    <w:rsid w:val="00C80547"/>
    <w:rsid w:val="00C80814"/>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4DF"/>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0EAF"/>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2F74"/>
    <w:rsid w:val="00CC3949"/>
    <w:rsid w:val="00CC3B2B"/>
    <w:rsid w:val="00CC3E8C"/>
    <w:rsid w:val="00CC400F"/>
    <w:rsid w:val="00CC4365"/>
    <w:rsid w:val="00CC43C3"/>
    <w:rsid w:val="00CC4A78"/>
    <w:rsid w:val="00CC4C5E"/>
    <w:rsid w:val="00CC4CCF"/>
    <w:rsid w:val="00CC4F58"/>
    <w:rsid w:val="00CC4FEF"/>
    <w:rsid w:val="00CC4FF9"/>
    <w:rsid w:val="00CC51B7"/>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90"/>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4D2"/>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A5A"/>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3D5"/>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036"/>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0F"/>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08C"/>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D85"/>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50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47EA0"/>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19E"/>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69B"/>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6753D"/>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32D"/>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763"/>
    <w:rsid w:val="00DA6A59"/>
    <w:rsid w:val="00DA6C67"/>
    <w:rsid w:val="00DA7141"/>
    <w:rsid w:val="00DA714A"/>
    <w:rsid w:val="00DA71AF"/>
    <w:rsid w:val="00DA727D"/>
    <w:rsid w:val="00DA7928"/>
    <w:rsid w:val="00DA7A85"/>
    <w:rsid w:val="00DA7BC7"/>
    <w:rsid w:val="00DA7E4C"/>
    <w:rsid w:val="00DB0419"/>
    <w:rsid w:val="00DB0487"/>
    <w:rsid w:val="00DB0564"/>
    <w:rsid w:val="00DB0E20"/>
    <w:rsid w:val="00DB1539"/>
    <w:rsid w:val="00DB191A"/>
    <w:rsid w:val="00DB1DEC"/>
    <w:rsid w:val="00DB1F98"/>
    <w:rsid w:val="00DB2007"/>
    <w:rsid w:val="00DB2551"/>
    <w:rsid w:val="00DB2A4D"/>
    <w:rsid w:val="00DB2F0E"/>
    <w:rsid w:val="00DB31AE"/>
    <w:rsid w:val="00DB35C7"/>
    <w:rsid w:val="00DB38CF"/>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6A"/>
    <w:rsid w:val="00DB6B82"/>
    <w:rsid w:val="00DB6B86"/>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9CD"/>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488"/>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7DE"/>
    <w:rsid w:val="00DE7CA6"/>
    <w:rsid w:val="00DE7D03"/>
    <w:rsid w:val="00DE7E42"/>
    <w:rsid w:val="00DE7F96"/>
    <w:rsid w:val="00DF02EC"/>
    <w:rsid w:val="00DF0D33"/>
    <w:rsid w:val="00DF0E63"/>
    <w:rsid w:val="00DF0FE6"/>
    <w:rsid w:val="00DF1300"/>
    <w:rsid w:val="00DF13EC"/>
    <w:rsid w:val="00DF1758"/>
    <w:rsid w:val="00DF1851"/>
    <w:rsid w:val="00DF1ADA"/>
    <w:rsid w:val="00DF1DE2"/>
    <w:rsid w:val="00DF1FD6"/>
    <w:rsid w:val="00DF221B"/>
    <w:rsid w:val="00DF27C9"/>
    <w:rsid w:val="00DF2D6C"/>
    <w:rsid w:val="00DF2DDB"/>
    <w:rsid w:val="00DF3195"/>
    <w:rsid w:val="00DF32AF"/>
    <w:rsid w:val="00DF3307"/>
    <w:rsid w:val="00DF334B"/>
    <w:rsid w:val="00DF39B9"/>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CE"/>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A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B7C"/>
    <w:rsid w:val="00E16E7C"/>
    <w:rsid w:val="00E1737B"/>
    <w:rsid w:val="00E1743A"/>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3C7"/>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1CE"/>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1D7"/>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121"/>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126"/>
    <w:rsid w:val="00E552BE"/>
    <w:rsid w:val="00E5544B"/>
    <w:rsid w:val="00E556A3"/>
    <w:rsid w:val="00E55773"/>
    <w:rsid w:val="00E55BCA"/>
    <w:rsid w:val="00E55FFA"/>
    <w:rsid w:val="00E56081"/>
    <w:rsid w:val="00E56244"/>
    <w:rsid w:val="00E56F70"/>
    <w:rsid w:val="00E5711F"/>
    <w:rsid w:val="00E5719D"/>
    <w:rsid w:val="00E572A6"/>
    <w:rsid w:val="00E573EE"/>
    <w:rsid w:val="00E5765B"/>
    <w:rsid w:val="00E57DAB"/>
    <w:rsid w:val="00E6000E"/>
    <w:rsid w:val="00E602C9"/>
    <w:rsid w:val="00E608B7"/>
    <w:rsid w:val="00E60F80"/>
    <w:rsid w:val="00E61869"/>
    <w:rsid w:val="00E61A52"/>
    <w:rsid w:val="00E61DAC"/>
    <w:rsid w:val="00E624DA"/>
    <w:rsid w:val="00E625DB"/>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6C0"/>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0CD7"/>
    <w:rsid w:val="00E810EC"/>
    <w:rsid w:val="00E8117B"/>
    <w:rsid w:val="00E81244"/>
    <w:rsid w:val="00E81282"/>
    <w:rsid w:val="00E81490"/>
    <w:rsid w:val="00E81F9F"/>
    <w:rsid w:val="00E81FEA"/>
    <w:rsid w:val="00E81FFC"/>
    <w:rsid w:val="00E82527"/>
    <w:rsid w:val="00E82608"/>
    <w:rsid w:val="00E826C8"/>
    <w:rsid w:val="00E828DA"/>
    <w:rsid w:val="00E8290C"/>
    <w:rsid w:val="00E83280"/>
    <w:rsid w:val="00E832BC"/>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5D1"/>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0A"/>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092"/>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0F07"/>
    <w:rsid w:val="00EB1495"/>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9F1"/>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3D8"/>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3F26"/>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B6D"/>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0DA"/>
    <w:rsid w:val="00F134AC"/>
    <w:rsid w:val="00F13517"/>
    <w:rsid w:val="00F13AE6"/>
    <w:rsid w:val="00F13F6F"/>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CB5"/>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576"/>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24"/>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2FCC"/>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617"/>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D8"/>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811"/>
    <w:rsid w:val="00FA2AB0"/>
    <w:rsid w:val="00FA3B5F"/>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6DD1"/>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4FC"/>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E1A"/>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84A"/>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5F2"/>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9C8"/>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2FD46EE0-C902-4E67-863D-9EFF2E38D95C}">
  <ds:schemaRefs>
    <ds:schemaRef ds:uri="http://schemas.openxmlformats.org/officeDocument/2006/bibliography"/>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0E3A0-E228-4274-887D-719B72C87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18602</TotalTime>
  <Pages>3</Pages>
  <Words>1149</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6986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1756</cp:revision>
  <cp:lastPrinted>2011-11-09T07:49:00Z</cp:lastPrinted>
  <dcterms:created xsi:type="dcterms:W3CDTF">2018-11-02T18:38:00Z</dcterms:created>
  <dcterms:modified xsi:type="dcterms:W3CDTF">2021-11-05T19:42:00Z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